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7EB2" w14:textId="25A24AD3" w:rsidR="00E760C7" w:rsidRPr="003A0720" w:rsidRDefault="00773352" w:rsidP="0071464E">
      <w:pPr>
        <w:jc w:val="center"/>
        <w:rPr>
          <w:rFonts w:cstheme="minorHAnsi"/>
          <w:b/>
          <w:bCs/>
          <w:sz w:val="32"/>
          <w:szCs w:val="28"/>
          <w:u w:val="single"/>
        </w:rPr>
      </w:pPr>
      <w:r w:rsidRPr="003A0720">
        <w:rPr>
          <w:rFonts w:cstheme="minorHAnsi"/>
          <w:b/>
          <w:sz w:val="28"/>
          <w:szCs w:val="24"/>
          <w:u w:val="single"/>
        </w:rPr>
        <w:t>PUBLICATION DETAILS</w:t>
      </w:r>
      <w:r w:rsidR="00753D62" w:rsidRPr="003A0720">
        <w:rPr>
          <w:rFonts w:cstheme="minorHAnsi"/>
          <w:b/>
          <w:sz w:val="28"/>
          <w:szCs w:val="24"/>
          <w:u w:val="single"/>
        </w:rPr>
        <w:t xml:space="preserve"> </w:t>
      </w:r>
      <w:r w:rsidR="00C65A9B" w:rsidRPr="003A0720">
        <w:rPr>
          <w:rFonts w:cstheme="minorHAnsi"/>
          <w:b/>
          <w:sz w:val="28"/>
          <w:szCs w:val="24"/>
          <w:u w:val="single"/>
        </w:rPr>
        <w:t xml:space="preserve">TILL </w:t>
      </w:r>
      <w:r w:rsidR="00456133">
        <w:rPr>
          <w:rFonts w:cstheme="minorHAnsi"/>
          <w:b/>
          <w:sz w:val="28"/>
          <w:szCs w:val="24"/>
          <w:u w:val="single"/>
        </w:rPr>
        <w:t>NOVEMBER</w:t>
      </w:r>
      <w:r w:rsidR="00C65A9B">
        <w:rPr>
          <w:rFonts w:cstheme="minorHAnsi"/>
          <w:b/>
          <w:sz w:val="28"/>
          <w:szCs w:val="24"/>
          <w:u w:val="single"/>
        </w:rPr>
        <w:t xml:space="preserve"> </w:t>
      </w:r>
      <w:r w:rsidR="00753D62" w:rsidRPr="003A0720">
        <w:rPr>
          <w:rFonts w:cstheme="minorHAnsi"/>
          <w:b/>
          <w:sz w:val="28"/>
          <w:szCs w:val="24"/>
          <w:u w:val="single"/>
        </w:rPr>
        <w:t xml:space="preserve">2023 </w:t>
      </w:r>
    </w:p>
    <w:tbl>
      <w:tblPr>
        <w:tblStyle w:val="TableGrid"/>
        <w:tblpPr w:leftFromText="180" w:rightFromText="180" w:vertAnchor="text" w:horzAnchor="margin" w:tblpXSpec="center" w:tblpY="504"/>
        <w:tblW w:w="15260" w:type="dxa"/>
        <w:tblLook w:val="04A0" w:firstRow="1" w:lastRow="0" w:firstColumn="1" w:lastColumn="0" w:noHBand="0" w:noVBand="1"/>
      </w:tblPr>
      <w:tblGrid>
        <w:gridCol w:w="589"/>
        <w:gridCol w:w="2011"/>
        <w:gridCol w:w="4231"/>
        <w:gridCol w:w="1003"/>
        <w:gridCol w:w="1781"/>
        <w:gridCol w:w="783"/>
        <w:gridCol w:w="890"/>
        <w:gridCol w:w="954"/>
        <w:gridCol w:w="3018"/>
      </w:tblGrid>
      <w:tr w:rsidR="00084DCD" w:rsidRPr="003A0720" w14:paraId="646FA9EB" w14:textId="77777777" w:rsidTr="00773352">
        <w:trPr>
          <w:trHeight w:val="1264"/>
        </w:trPr>
        <w:tc>
          <w:tcPr>
            <w:tcW w:w="589" w:type="dxa"/>
          </w:tcPr>
          <w:p w14:paraId="21ABD1B6" w14:textId="77777777" w:rsidR="00084DCD" w:rsidRPr="003A0720" w:rsidRDefault="00084DCD" w:rsidP="00084DCD">
            <w:pPr>
              <w:rPr>
                <w:rFonts w:cstheme="minorHAnsi"/>
                <w:b/>
                <w:bCs/>
              </w:rPr>
            </w:pPr>
            <w:proofErr w:type="spellStart"/>
            <w:r w:rsidRPr="003A0720">
              <w:rPr>
                <w:rFonts w:cstheme="minorHAnsi"/>
                <w:b/>
                <w:bCs/>
              </w:rPr>
              <w:t>Sl</w:t>
            </w:r>
            <w:proofErr w:type="spellEnd"/>
            <w:r w:rsidRPr="003A0720">
              <w:rPr>
                <w:rFonts w:cstheme="minorHAnsi"/>
                <w:b/>
                <w:bCs/>
              </w:rPr>
              <w:t xml:space="preserve"> no</w:t>
            </w:r>
          </w:p>
        </w:tc>
        <w:tc>
          <w:tcPr>
            <w:tcW w:w="2011" w:type="dxa"/>
          </w:tcPr>
          <w:p w14:paraId="5798F906" w14:textId="77777777" w:rsidR="00084DCD" w:rsidRPr="003A0720" w:rsidRDefault="00084DCD" w:rsidP="00084DCD">
            <w:pPr>
              <w:jc w:val="center"/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Dept</w:t>
            </w:r>
          </w:p>
        </w:tc>
        <w:tc>
          <w:tcPr>
            <w:tcW w:w="4231" w:type="dxa"/>
          </w:tcPr>
          <w:p w14:paraId="22964714" w14:textId="77777777" w:rsidR="00084DCD" w:rsidRPr="003A0720" w:rsidRDefault="00084DCD" w:rsidP="00084DCD">
            <w:pPr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Citation (Harvard Style)</w:t>
            </w:r>
          </w:p>
        </w:tc>
        <w:tc>
          <w:tcPr>
            <w:tcW w:w="1003" w:type="dxa"/>
          </w:tcPr>
          <w:p w14:paraId="7A319351" w14:textId="77777777" w:rsidR="00084DCD" w:rsidRPr="003A0720" w:rsidRDefault="00084DCD" w:rsidP="00084DCD">
            <w:pPr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PubMed</w:t>
            </w:r>
          </w:p>
        </w:tc>
        <w:tc>
          <w:tcPr>
            <w:tcW w:w="1781" w:type="dxa"/>
          </w:tcPr>
          <w:p w14:paraId="5AED8E73" w14:textId="77777777" w:rsidR="00084DCD" w:rsidRPr="003A0720" w:rsidRDefault="00084DCD" w:rsidP="00084DCD">
            <w:pPr>
              <w:jc w:val="center"/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Scopus (Q1/Q2/Q3/Q4)</w:t>
            </w:r>
          </w:p>
        </w:tc>
        <w:tc>
          <w:tcPr>
            <w:tcW w:w="783" w:type="dxa"/>
          </w:tcPr>
          <w:p w14:paraId="667EAD90" w14:textId="77777777" w:rsidR="00084DCD" w:rsidRPr="003A0720" w:rsidRDefault="00084DCD" w:rsidP="00084DCD">
            <w:pPr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WoS</w:t>
            </w:r>
          </w:p>
        </w:tc>
        <w:tc>
          <w:tcPr>
            <w:tcW w:w="890" w:type="dxa"/>
          </w:tcPr>
          <w:p w14:paraId="24D55AB6" w14:textId="77777777" w:rsidR="00084DCD" w:rsidRPr="003A0720" w:rsidRDefault="00084DCD" w:rsidP="00084DC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Impact</w:t>
            </w:r>
          </w:p>
          <w:p w14:paraId="2805B316" w14:textId="77777777" w:rsidR="00084DCD" w:rsidRPr="003A0720" w:rsidRDefault="00084DCD" w:rsidP="00084DC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Factor</w:t>
            </w:r>
          </w:p>
        </w:tc>
        <w:tc>
          <w:tcPr>
            <w:tcW w:w="954" w:type="dxa"/>
          </w:tcPr>
          <w:p w14:paraId="7DB42AF4" w14:textId="77777777" w:rsidR="00084DCD" w:rsidRPr="003A0720" w:rsidRDefault="00084DCD" w:rsidP="00084DCD">
            <w:pPr>
              <w:jc w:val="center"/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Non-indexed</w:t>
            </w:r>
          </w:p>
        </w:tc>
        <w:tc>
          <w:tcPr>
            <w:tcW w:w="3018" w:type="dxa"/>
          </w:tcPr>
          <w:p w14:paraId="03E0DC4A" w14:textId="77777777" w:rsidR="00084DCD" w:rsidRPr="003A0720" w:rsidRDefault="00084DCD" w:rsidP="00084DCD">
            <w:pPr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Publication Type (All faculty/ Faculty with internal or external PhD scholar/Faculty with PG/ Faculty with UG)</w:t>
            </w:r>
          </w:p>
        </w:tc>
      </w:tr>
      <w:tr w:rsidR="00084DCD" w:rsidRPr="003A0720" w14:paraId="0F0F07FC" w14:textId="77777777" w:rsidTr="00753D62">
        <w:trPr>
          <w:trHeight w:val="822"/>
        </w:trPr>
        <w:tc>
          <w:tcPr>
            <w:tcW w:w="589" w:type="dxa"/>
            <w:vMerge w:val="restart"/>
          </w:tcPr>
          <w:p w14:paraId="2AD68E90" w14:textId="77777777" w:rsidR="00084DCD" w:rsidRPr="003A0720" w:rsidRDefault="00084DCD" w:rsidP="00084DCD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1</w:t>
            </w:r>
          </w:p>
          <w:p w14:paraId="0427FD43" w14:textId="77777777" w:rsidR="00084DCD" w:rsidRPr="003A0720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 w:val="restart"/>
          </w:tcPr>
          <w:p w14:paraId="0D2BA9BE" w14:textId="77777777" w:rsidR="00084DCD" w:rsidRPr="003A0720" w:rsidRDefault="00084DCD" w:rsidP="00084DCD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PERIO</w:t>
            </w:r>
          </w:p>
        </w:tc>
        <w:tc>
          <w:tcPr>
            <w:tcW w:w="4231" w:type="dxa"/>
          </w:tcPr>
          <w:p w14:paraId="5F1B8C8D" w14:textId="4CB86BBC" w:rsidR="00084DCD" w:rsidRPr="003A0720" w:rsidRDefault="00753D62" w:rsidP="00753D62">
            <w:pPr>
              <w:spacing w:line="240" w:lineRule="auto"/>
              <w:rPr>
                <w:rFonts w:cstheme="minorHAnsi"/>
              </w:rPr>
            </w:pPr>
            <w:r w:rsidRPr="003A0720">
              <w:rPr>
                <w:rFonts w:cstheme="minorHAnsi"/>
              </w:rPr>
              <w:t>Shetty, B., Fazal, I., Khan, S.F., Nambiar, M., Prasad, R. and Raj, A., 2023. Association between cardiovascular diseases and periodontal disease: more than what meets the eye. Drug Target Insights, 17, pp.31-38.</w:t>
            </w:r>
          </w:p>
        </w:tc>
        <w:tc>
          <w:tcPr>
            <w:tcW w:w="1003" w:type="dxa"/>
          </w:tcPr>
          <w:p w14:paraId="3EEBF5B5" w14:textId="27C78693" w:rsidR="00084DCD" w:rsidRPr="003A0720" w:rsidRDefault="00753D62" w:rsidP="0052344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7D3DFD96" w14:textId="07DBCDDC" w:rsidR="00084DCD" w:rsidRPr="003A0720" w:rsidRDefault="00753D62" w:rsidP="0071464E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</w:t>
            </w:r>
            <w:r w:rsidR="00577402" w:rsidRPr="003A0720">
              <w:rPr>
                <w:rFonts w:cstheme="minorHAnsi"/>
              </w:rPr>
              <w:t>2</w:t>
            </w:r>
          </w:p>
        </w:tc>
        <w:tc>
          <w:tcPr>
            <w:tcW w:w="783" w:type="dxa"/>
          </w:tcPr>
          <w:p w14:paraId="4E3665B8" w14:textId="0E1681B2" w:rsidR="00084DCD" w:rsidRPr="003A0720" w:rsidRDefault="00456133" w:rsidP="00084D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17E911D9" w14:textId="5732E22F" w:rsidR="00084DCD" w:rsidRPr="003A0720" w:rsidRDefault="00456133" w:rsidP="00084D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0.283</w:t>
            </w:r>
          </w:p>
        </w:tc>
        <w:tc>
          <w:tcPr>
            <w:tcW w:w="954" w:type="dxa"/>
          </w:tcPr>
          <w:p w14:paraId="635E68AD" w14:textId="3AE62291" w:rsidR="00084DCD" w:rsidRPr="003A0720" w:rsidRDefault="00456133" w:rsidP="00084D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37E2B38D" w14:textId="3354D0BA" w:rsidR="00084DCD" w:rsidRPr="003A0720" w:rsidRDefault="00753D62" w:rsidP="00C35BA5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FACULTY WITH PG</w:t>
            </w:r>
          </w:p>
        </w:tc>
      </w:tr>
      <w:tr w:rsidR="00084DCD" w:rsidRPr="003A0720" w14:paraId="512C27BA" w14:textId="77777777" w:rsidTr="00753D62">
        <w:trPr>
          <w:trHeight w:val="1950"/>
        </w:trPr>
        <w:tc>
          <w:tcPr>
            <w:tcW w:w="589" w:type="dxa"/>
            <w:vMerge/>
          </w:tcPr>
          <w:p w14:paraId="4EB20744" w14:textId="77777777" w:rsidR="00084DCD" w:rsidRPr="003A0720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ECDA8CD" w14:textId="77777777" w:rsidR="00084DCD" w:rsidRPr="003A0720" w:rsidRDefault="00084DCD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B0BE3E9" w14:textId="024F2386" w:rsidR="00753D62" w:rsidRPr="003A0720" w:rsidRDefault="00523442" w:rsidP="00753D6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753D62" w:rsidRPr="003A0720">
              <w:rPr>
                <w:rFonts w:cstheme="minorHAnsi"/>
              </w:rPr>
              <w:t xml:space="preserve"> </w:t>
            </w:r>
            <w:r w:rsidR="00753D62" w:rsidRPr="003A0720">
              <w:rPr>
                <w:rFonts w:cstheme="minorHAnsi"/>
                <w:color w:val="222222"/>
                <w:shd w:val="clear" w:color="auto" w:fill="FFFFFF"/>
              </w:rPr>
              <w:t>Shetty,B.,Irfana, K.,Fazal, I., and ShaBeeBa,I.,2023. Evaluation of the Effectiveness of Topical Anaesthetic Gel and Needle Free Jet Anaesthesia in Root Planing: A Cross-sectional Study. Journal of Clinical and Diagnostic Research pp.15-18</w:t>
            </w:r>
          </w:p>
        </w:tc>
        <w:tc>
          <w:tcPr>
            <w:tcW w:w="1003" w:type="dxa"/>
          </w:tcPr>
          <w:p w14:paraId="2233436E" w14:textId="044286F6" w:rsidR="00084DCD" w:rsidRPr="003A0720" w:rsidRDefault="00456133" w:rsidP="00084DC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23AE8803" w14:textId="02F89DC0" w:rsidR="00084DCD" w:rsidRPr="003A0720" w:rsidRDefault="00456133" w:rsidP="007146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79A4A5A4" w14:textId="72E14F39" w:rsidR="00084DCD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WoS</w:t>
            </w:r>
          </w:p>
        </w:tc>
        <w:tc>
          <w:tcPr>
            <w:tcW w:w="890" w:type="dxa"/>
          </w:tcPr>
          <w:p w14:paraId="3C737A84" w14:textId="77777777" w:rsidR="00084DCD" w:rsidRPr="003A0720" w:rsidRDefault="00084DCD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352FF00C" w14:textId="3CBDA25C" w:rsidR="00084DCD" w:rsidRPr="003A0720" w:rsidRDefault="00084DCD" w:rsidP="00084DCD">
            <w:pPr>
              <w:rPr>
                <w:rFonts w:cstheme="minorHAnsi"/>
              </w:rPr>
            </w:pPr>
          </w:p>
        </w:tc>
        <w:tc>
          <w:tcPr>
            <w:tcW w:w="3018" w:type="dxa"/>
          </w:tcPr>
          <w:p w14:paraId="0B18CAE3" w14:textId="786BA6E2" w:rsidR="00084DCD" w:rsidRPr="003A0720" w:rsidRDefault="0071464E" w:rsidP="00C35BA5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FACULTY</w:t>
            </w:r>
            <w:r w:rsidR="00753D62" w:rsidRPr="003A0720">
              <w:rPr>
                <w:rFonts w:cstheme="minorHAnsi"/>
              </w:rPr>
              <w:t xml:space="preserve"> WITH PG</w:t>
            </w:r>
          </w:p>
        </w:tc>
      </w:tr>
      <w:tr w:rsidR="00084DCD" w:rsidRPr="003A0720" w14:paraId="1606579D" w14:textId="77777777" w:rsidTr="00084DCD">
        <w:trPr>
          <w:trHeight w:val="515"/>
        </w:trPr>
        <w:tc>
          <w:tcPr>
            <w:tcW w:w="589" w:type="dxa"/>
            <w:vMerge/>
          </w:tcPr>
          <w:p w14:paraId="25FCEC6E" w14:textId="77777777" w:rsidR="00084DCD" w:rsidRPr="003A0720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7306F3FA" w14:textId="77777777" w:rsidR="00084DCD" w:rsidRPr="003A0720" w:rsidRDefault="00084DCD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CCAAA9D" w14:textId="3770650B" w:rsidR="00084DCD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Konuganti,K</w:t>
            </w:r>
            <w:proofErr w:type="spellEnd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., Daedeepya.,2023. Estimation of Serum protein in Periodontitis Patients – An Observational Study. Scholars Journal of Dental Sciences,pp.32-36</w:t>
            </w:r>
          </w:p>
        </w:tc>
        <w:tc>
          <w:tcPr>
            <w:tcW w:w="1003" w:type="dxa"/>
          </w:tcPr>
          <w:p w14:paraId="36003F59" w14:textId="1B078520" w:rsidR="00084DCD" w:rsidRPr="003A0720" w:rsidRDefault="00456133" w:rsidP="00084DC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428B0BFA" w14:textId="0BF394E3" w:rsidR="00084DCD" w:rsidRPr="003A0720" w:rsidRDefault="00456133" w:rsidP="0045613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6B575D12" w14:textId="0BEDC8B4" w:rsidR="00084DCD" w:rsidRPr="003A0720" w:rsidRDefault="00456133" w:rsidP="00084DC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119A60EC" w14:textId="77777777" w:rsidR="00084DCD" w:rsidRPr="003A0720" w:rsidRDefault="00084DCD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6A84E811" w14:textId="5B5C4D63" w:rsidR="00084DCD" w:rsidRPr="003A0720" w:rsidRDefault="0057740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07C7C612" w14:textId="52995A81" w:rsidR="00084DCD" w:rsidRPr="003A0720" w:rsidRDefault="0071464E" w:rsidP="00C35BA5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FACULTY WITH PG</w:t>
            </w:r>
          </w:p>
        </w:tc>
      </w:tr>
      <w:tr w:rsidR="00084DCD" w:rsidRPr="003A0720" w14:paraId="7EFC3CC5" w14:textId="77777777" w:rsidTr="00084DCD">
        <w:trPr>
          <w:trHeight w:val="515"/>
        </w:trPr>
        <w:tc>
          <w:tcPr>
            <w:tcW w:w="589" w:type="dxa"/>
            <w:vMerge/>
          </w:tcPr>
          <w:p w14:paraId="0C5BE8EC" w14:textId="77777777" w:rsidR="00084DCD" w:rsidRPr="003A0720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3D0352C4" w14:textId="77777777" w:rsidR="00084DCD" w:rsidRPr="003A0720" w:rsidRDefault="00084DCD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38B0969" w14:textId="134F7D5B" w:rsidR="00682DD1" w:rsidRPr="003A0720" w:rsidRDefault="00753D62" w:rsidP="00753D6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Ida, M.J., Shetty, B., Khan, S.F., Yadalam, U. and Nambiar, M., 2023. Development and in vitro characterization of a mucoadhesive gel with Moringa oleifera extract for periodontal drug delivery. Journal of Indian </w:t>
            </w:r>
            <w:r w:rsidRPr="003A0720">
              <w:rPr>
                <w:rFonts w:cstheme="minorHAnsi"/>
                <w:color w:val="222222"/>
                <w:shd w:val="clear" w:color="auto" w:fill="FFFFFF"/>
              </w:rPr>
              <w:lastRenderedPageBreak/>
              <w:t>Society of Periodontology, 27(2), pp.146-153.</w:t>
            </w:r>
          </w:p>
        </w:tc>
        <w:tc>
          <w:tcPr>
            <w:tcW w:w="1003" w:type="dxa"/>
          </w:tcPr>
          <w:p w14:paraId="47F4E3AD" w14:textId="4D93DA3A" w:rsidR="00084DCD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81" w:type="dxa"/>
          </w:tcPr>
          <w:p w14:paraId="18CF3838" w14:textId="1D23FC85" w:rsidR="00084DCD" w:rsidRPr="003A0720" w:rsidRDefault="00753D62" w:rsidP="0071464E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60AC840C" w14:textId="6759ED94" w:rsidR="00084DCD" w:rsidRPr="003A0720" w:rsidRDefault="00456133" w:rsidP="00084DC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5552BA0B" w14:textId="79B2BCF7" w:rsidR="00084DCD" w:rsidRPr="003A0720" w:rsidRDefault="00084DCD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61B8113C" w14:textId="25233588" w:rsidR="00084DCD" w:rsidRPr="003A0720" w:rsidRDefault="00084DCD" w:rsidP="00084DCD">
            <w:pPr>
              <w:rPr>
                <w:rFonts w:cstheme="minorHAnsi"/>
              </w:rPr>
            </w:pPr>
          </w:p>
        </w:tc>
        <w:tc>
          <w:tcPr>
            <w:tcW w:w="3018" w:type="dxa"/>
          </w:tcPr>
          <w:p w14:paraId="6D7A1172" w14:textId="14654B44" w:rsidR="00084DCD" w:rsidRPr="003A0720" w:rsidRDefault="0071464E" w:rsidP="00C35BA5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FACULTY WITH PG</w:t>
            </w:r>
          </w:p>
        </w:tc>
      </w:tr>
      <w:tr w:rsidR="00456133" w:rsidRPr="003A0720" w14:paraId="14F69003" w14:textId="77777777" w:rsidTr="00084DCD">
        <w:trPr>
          <w:trHeight w:val="515"/>
        </w:trPr>
        <w:tc>
          <w:tcPr>
            <w:tcW w:w="589" w:type="dxa"/>
            <w:vMerge/>
          </w:tcPr>
          <w:p w14:paraId="5AA5FA21" w14:textId="77777777" w:rsidR="00456133" w:rsidRPr="003A0720" w:rsidRDefault="00456133" w:rsidP="00456133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2C799BE1" w14:textId="77777777" w:rsidR="00456133" w:rsidRPr="003A0720" w:rsidRDefault="00456133" w:rsidP="00456133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292B1B4" w14:textId="6EA39C4D" w:rsidR="00456133" w:rsidRPr="003A0720" w:rsidRDefault="00456133" w:rsidP="00456133">
            <w:pPr>
              <w:pStyle w:val="NoSpacing"/>
              <w:rPr>
                <w:rFonts w:cstheme="minorHAnsi"/>
                <w:shd w:val="clear" w:color="auto" w:fill="FFFFFF"/>
              </w:rPr>
            </w:pPr>
            <w:proofErr w:type="spellStart"/>
            <w:r w:rsidRPr="003A0720">
              <w:rPr>
                <w:rFonts w:cstheme="minorHAnsi"/>
                <w:shd w:val="clear" w:color="auto" w:fill="FFFFFF"/>
              </w:rPr>
              <w:t>Shetty,A</w:t>
            </w:r>
            <w:proofErr w:type="spellEnd"/>
            <w:r w:rsidRPr="003A0720">
              <w:rPr>
                <w:rFonts w:cstheme="minorHAnsi"/>
                <w:shd w:val="clear" w:color="auto" w:fill="FFFFFF"/>
              </w:rPr>
              <w:t xml:space="preserve">., </w:t>
            </w:r>
            <w:proofErr w:type="spellStart"/>
            <w:r w:rsidRPr="003A0720">
              <w:rPr>
                <w:rFonts w:cstheme="minorHAnsi"/>
                <w:shd w:val="clear" w:color="auto" w:fill="FFFFFF"/>
              </w:rPr>
              <w:t>Irfana,K</w:t>
            </w:r>
            <w:proofErr w:type="spellEnd"/>
            <w:r w:rsidRPr="003A0720">
              <w:rPr>
                <w:rFonts w:cstheme="minorHAnsi"/>
                <w:shd w:val="clear" w:color="auto" w:fill="FFFFFF"/>
              </w:rPr>
              <w:t>., Moulyashree,D.,</w:t>
            </w:r>
            <w:proofErr w:type="spellStart"/>
            <w:r w:rsidRPr="003A0720">
              <w:rPr>
                <w:rFonts w:cstheme="minorHAnsi"/>
                <w:shd w:val="clear" w:color="auto" w:fill="FFFFFF"/>
              </w:rPr>
              <w:t>Konuganti</w:t>
            </w:r>
            <w:proofErr w:type="spellEnd"/>
            <w:r w:rsidRPr="003A0720">
              <w:rPr>
                <w:rFonts w:cstheme="minorHAnsi"/>
                <w:shd w:val="clear" w:color="auto" w:fill="FFFFFF"/>
              </w:rPr>
              <w:t xml:space="preserve"> .K.,</w:t>
            </w:r>
          </w:p>
          <w:p w14:paraId="505DE30D" w14:textId="36746086" w:rsidR="00456133" w:rsidRPr="003A0720" w:rsidRDefault="00456133" w:rsidP="00456133">
            <w:pPr>
              <w:pStyle w:val="NoSpacing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Shetty, B.,Sharanappa.M.2023. Combined effect of electric toothbrush and oral irrigator- Aqua Brush. Scholars Journal of Dental Sciences ,10 , pp. 50-53</w:t>
            </w:r>
          </w:p>
        </w:tc>
        <w:tc>
          <w:tcPr>
            <w:tcW w:w="1003" w:type="dxa"/>
          </w:tcPr>
          <w:p w14:paraId="3CDC3B2C" w14:textId="593E1B75" w:rsidR="00456133" w:rsidRPr="003A0720" w:rsidRDefault="00456133" w:rsidP="0045613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67D6CB77" w14:textId="0B3AD67E" w:rsidR="00456133" w:rsidRPr="003A0720" w:rsidRDefault="00456133" w:rsidP="00456133">
            <w:pPr>
              <w:jc w:val="center"/>
              <w:rPr>
                <w:rFonts w:cstheme="minorHAnsi"/>
              </w:rPr>
            </w:pPr>
            <w:r w:rsidRPr="0021394E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3648952F" w14:textId="6B435C77" w:rsidR="00456133" w:rsidRPr="003A0720" w:rsidRDefault="00456133" w:rsidP="00456133">
            <w:pPr>
              <w:rPr>
                <w:rFonts w:cstheme="minorHAnsi"/>
              </w:rPr>
            </w:pPr>
            <w:r w:rsidRPr="0021394E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198FF6B5" w14:textId="77777777" w:rsidR="00456133" w:rsidRPr="003A0720" w:rsidRDefault="00456133" w:rsidP="00456133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42F82DEF" w14:textId="776B4871" w:rsidR="00456133" w:rsidRPr="003A0720" w:rsidRDefault="00456133" w:rsidP="00456133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4606FBCC" w14:textId="1B4E346D" w:rsidR="00456133" w:rsidRPr="003A0720" w:rsidRDefault="00456133" w:rsidP="00456133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                FACULTY WITH PG</w:t>
            </w:r>
          </w:p>
        </w:tc>
      </w:tr>
      <w:tr w:rsidR="00456133" w:rsidRPr="003A0720" w14:paraId="2628BCAC" w14:textId="77777777" w:rsidTr="00084DCD">
        <w:trPr>
          <w:trHeight w:val="515"/>
        </w:trPr>
        <w:tc>
          <w:tcPr>
            <w:tcW w:w="589" w:type="dxa"/>
            <w:vMerge/>
          </w:tcPr>
          <w:p w14:paraId="4E1E9C97" w14:textId="77777777" w:rsidR="00456133" w:rsidRPr="003A0720" w:rsidRDefault="00456133" w:rsidP="00456133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76A3802" w14:textId="77777777" w:rsidR="00456133" w:rsidRPr="003A0720" w:rsidRDefault="00456133" w:rsidP="00456133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0F34E77" w14:textId="3807EF9C" w:rsidR="00456133" w:rsidRPr="003A0720" w:rsidRDefault="00456133" w:rsidP="00456133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Konuganti.K.,Daedeepya.2023.Estimation of Serum Levels of C - reactive protein in Periodontitis Patients – An Observational Study. Scholars Journal of Dental Sciences ,10 , pp. 1-5</w:t>
            </w:r>
          </w:p>
        </w:tc>
        <w:tc>
          <w:tcPr>
            <w:tcW w:w="1003" w:type="dxa"/>
          </w:tcPr>
          <w:p w14:paraId="6115E560" w14:textId="7FCCBFE9" w:rsidR="00456133" w:rsidRPr="003A0720" w:rsidRDefault="00456133" w:rsidP="0045613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200D6BEB" w14:textId="6CEB435B" w:rsidR="00456133" w:rsidRPr="003A0720" w:rsidRDefault="00456133" w:rsidP="00456133">
            <w:pPr>
              <w:rPr>
                <w:rFonts w:cstheme="minorHAnsi"/>
              </w:rPr>
            </w:pPr>
            <w:r w:rsidRPr="0021394E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3DF1DA42" w14:textId="1883E1B0" w:rsidR="00456133" w:rsidRPr="003A0720" w:rsidRDefault="00456133" w:rsidP="00456133">
            <w:pPr>
              <w:rPr>
                <w:rFonts w:cstheme="minorHAnsi"/>
              </w:rPr>
            </w:pPr>
            <w:r w:rsidRPr="0021394E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024EDF30" w14:textId="77777777" w:rsidR="00456133" w:rsidRPr="003A0720" w:rsidRDefault="00456133" w:rsidP="00456133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6D4D34F" w14:textId="6B8B3BBB" w:rsidR="00456133" w:rsidRPr="003A0720" w:rsidRDefault="00456133" w:rsidP="00456133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4DBB513F" w14:textId="26E897C1" w:rsidR="00456133" w:rsidRPr="003A0720" w:rsidRDefault="00456133" w:rsidP="00456133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            FACULTY WITH PG</w:t>
            </w:r>
          </w:p>
        </w:tc>
      </w:tr>
      <w:tr w:rsidR="00084DCD" w:rsidRPr="003A0720" w14:paraId="135E8029" w14:textId="77777777" w:rsidTr="00084DCD">
        <w:trPr>
          <w:trHeight w:val="515"/>
        </w:trPr>
        <w:tc>
          <w:tcPr>
            <w:tcW w:w="589" w:type="dxa"/>
            <w:vMerge/>
          </w:tcPr>
          <w:p w14:paraId="51692688" w14:textId="77777777" w:rsidR="00084DCD" w:rsidRPr="003A0720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49F8062C" w14:textId="77777777" w:rsidR="00084DCD" w:rsidRPr="003A0720" w:rsidRDefault="00084DCD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B11ACDC" w14:textId="60D862D3" w:rsidR="00682DD1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Kedlaya</w:t>
            </w:r>
            <w:proofErr w:type="spellEnd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M.N., </w:t>
            </w:r>
            <w:proofErr w:type="spellStart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Puzhankara</w:t>
            </w:r>
            <w:proofErr w:type="spellEnd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, L., Prasad, R. and Raj, A., 2023. Periodontal Disease Pathogens, Pathogenesis, and Therapeutics: The CRISPR-Cas Effect. The CRISPR Journal, 6(2), pp.90-98.</w:t>
            </w:r>
          </w:p>
        </w:tc>
        <w:tc>
          <w:tcPr>
            <w:tcW w:w="1003" w:type="dxa"/>
          </w:tcPr>
          <w:p w14:paraId="00215CD3" w14:textId="5A66703D" w:rsidR="00084DCD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1AF2C985" w14:textId="445B9A17" w:rsidR="00084DCD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6F29B600" w14:textId="2A57A068" w:rsidR="00084DCD" w:rsidRPr="003A0720" w:rsidRDefault="007D6D8B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2E381F8D" w14:textId="347291FF" w:rsidR="00084DCD" w:rsidRPr="003A0720" w:rsidRDefault="00084DCD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3A1F404F" w14:textId="65347206" w:rsidR="00084DCD" w:rsidRPr="003A0720" w:rsidRDefault="00084DCD" w:rsidP="00084DCD">
            <w:pPr>
              <w:rPr>
                <w:rFonts w:cstheme="minorHAnsi"/>
              </w:rPr>
            </w:pPr>
          </w:p>
        </w:tc>
        <w:tc>
          <w:tcPr>
            <w:tcW w:w="3018" w:type="dxa"/>
          </w:tcPr>
          <w:p w14:paraId="5BF2F99A" w14:textId="6D066557" w:rsidR="00084DCD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              All Faculty</w:t>
            </w:r>
          </w:p>
        </w:tc>
      </w:tr>
      <w:tr w:rsidR="00456133" w:rsidRPr="003A0720" w14:paraId="5EF46BAC" w14:textId="77777777" w:rsidTr="00084DCD">
        <w:trPr>
          <w:trHeight w:val="515"/>
        </w:trPr>
        <w:tc>
          <w:tcPr>
            <w:tcW w:w="589" w:type="dxa"/>
            <w:vMerge/>
          </w:tcPr>
          <w:p w14:paraId="51D9FFA4" w14:textId="77777777" w:rsidR="00456133" w:rsidRPr="003A0720" w:rsidRDefault="00456133" w:rsidP="00456133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33311238" w14:textId="77777777" w:rsidR="00456133" w:rsidRPr="003A0720" w:rsidRDefault="00456133" w:rsidP="00456133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BA32DF7" w14:textId="77777777" w:rsidR="00456133" w:rsidRPr="003A0720" w:rsidRDefault="00456133" w:rsidP="00456133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Moulyashree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>, M. and Mahantesha, S., 2023.</w:t>
            </w:r>
          </w:p>
          <w:p w14:paraId="7C94B2E6" w14:textId="250E8CF8" w:rsidR="00456133" w:rsidRPr="003A0720" w:rsidRDefault="00456133" w:rsidP="00456133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  <w:lang w:val="de-DE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>Configurations of implant threads: A Review. </w:t>
            </w:r>
            <w:r w:rsidRPr="003A0720">
              <w:rPr>
                <w:rFonts w:cstheme="minorHAnsi"/>
                <w:color w:val="222222"/>
                <w:shd w:val="clear" w:color="auto" w:fill="FFFFFF"/>
                <w:lang w:val="de-DE"/>
              </w:rPr>
              <w:t>Sch J Dent Sci, 5, pp.86-90</w:t>
            </w:r>
          </w:p>
        </w:tc>
        <w:tc>
          <w:tcPr>
            <w:tcW w:w="1003" w:type="dxa"/>
          </w:tcPr>
          <w:p w14:paraId="6FA02979" w14:textId="5B78F716" w:rsidR="00456133" w:rsidRPr="003A0720" w:rsidRDefault="00456133" w:rsidP="00456133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6E63F3D3" w14:textId="4AABF91C" w:rsidR="00456133" w:rsidRPr="003A0720" w:rsidRDefault="00456133" w:rsidP="00456133">
            <w:pPr>
              <w:rPr>
                <w:rFonts w:cstheme="minorHAnsi"/>
                <w:lang w:val="de-DE"/>
              </w:rPr>
            </w:pPr>
            <w:r w:rsidRPr="0021394E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0B8DE303" w14:textId="42807326" w:rsidR="00456133" w:rsidRPr="003A0720" w:rsidRDefault="00456133" w:rsidP="00456133">
            <w:pPr>
              <w:rPr>
                <w:rFonts w:cstheme="minorHAnsi"/>
                <w:lang w:val="de-DE"/>
              </w:rPr>
            </w:pPr>
            <w:r w:rsidRPr="0021394E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5D4A9938" w14:textId="77777777" w:rsidR="00456133" w:rsidRPr="003A0720" w:rsidRDefault="00456133" w:rsidP="00456133">
            <w:pPr>
              <w:rPr>
                <w:rFonts w:cstheme="minorHAnsi"/>
                <w:lang w:val="de-DE"/>
              </w:rPr>
            </w:pPr>
          </w:p>
        </w:tc>
        <w:tc>
          <w:tcPr>
            <w:tcW w:w="954" w:type="dxa"/>
          </w:tcPr>
          <w:p w14:paraId="11E4DCDA" w14:textId="4411BFF5" w:rsidR="00456133" w:rsidRPr="003A0720" w:rsidRDefault="00456133" w:rsidP="00456133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13F95311" w14:textId="4DB55CC4" w:rsidR="00456133" w:rsidRPr="003A0720" w:rsidRDefault="00456133" w:rsidP="00456133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             FACULTY WITH PG</w:t>
            </w:r>
          </w:p>
        </w:tc>
      </w:tr>
      <w:tr w:rsidR="00456133" w:rsidRPr="003A0720" w14:paraId="734A9965" w14:textId="77777777" w:rsidTr="00084DCD">
        <w:trPr>
          <w:trHeight w:val="515"/>
        </w:trPr>
        <w:tc>
          <w:tcPr>
            <w:tcW w:w="589" w:type="dxa"/>
            <w:vMerge w:val="restart"/>
          </w:tcPr>
          <w:p w14:paraId="40F0A94C" w14:textId="77777777" w:rsidR="00456133" w:rsidRPr="003A0720" w:rsidRDefault="00456133" w:rsidP="00456133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 w:val="restart"/>
          </w:tcPr>
          <w:p w14:paraId="6B9BA48B" w14:textId="77777777" w:rsidR="00456133" w:rsidRPr="003A0720" w:rsidRDefault="00456133" w:rsidP="00456133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A36227B" w14:textId="77777777" w:rsidR="00456133" w:rsidRPr="003A0720" w:rsidRDefault="00456133" w:rsidP="00456133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Aishwarya Arun </w:t>
            </w: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Shetty,.Kranti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 ,</w:t>
            </w: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Konugnati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., 2023 . The Interrelation between COVID-19 and Periodontal </w:t>
            </w: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Disease:Int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 J of Med Sci and current Research,6(2),pp.929-935</w:t>
            </w:r>
          </w:p>
          <w:p w14:paraId="4D0463D4" w14:textId="634FF12B" w:rsidR="00456133" w:rsidRPr="003A0720" w:rsidRDefault="00456133" w:rsidP="00456133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1003" w:type="dxa"/>
          </w:tcPr>
          <w:p w14:paraId="3C769541" w14:textId="54CE59B0" w:rsidR="00456133" w:rsidRPr="003A0720" w:rsidRDefault="00456133" w:rsidP="0045613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2C48C544" w14:textId="0B538976" w:rsidR="00456133" w:rsidRPr="003A0720" w:rsidRDefault="00456133" w:rsidP="00456133">
            <w:pPr>
              <w:rPr>
                <w:rFonts w:cstheme="minorHAnsi"/>
              </w:rPr>
            </w:pPr>
            <w:r w:rsidRPr="0021394E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7EC495B2" w14:textId="1ECD2326" w:rsidR="00456133" w:rsidRPr="003A0720" w:rsidRDefault="00456133" w:rsidP="00456133">
            <w:pPr>
              <w:rPr>
                <w:rFonts w:cstheme="minorHAnsi"/>
              </w:rPr>
            </w:pPr>
            <w:r w:rsidRPr="0021394E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56AFBF41" w14:textId="77777777" w:rsidR="00456133" w:rsidRPr="003A0720" w:rsidRDefault="00456133" w:rsidP="00456133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F49088A" w14:textId="3435D3D4" w:rsidR="00456133" w:rsidRPr="003A0720" w:rsidRDefault="00456133" w:rsidP="00456133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1FD96D80" w14:textId="2B556D43" w:rsidR="00456133" w:rsidRPr="003A0720" w:rsidRDefault="00456133" w:rsidP="00456133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             FACULTY WITH PG</w:t>
            </w:r>
          </w:p>
        </w:tc>
      </w:tr>
      <w:tr w:rsidR="00456133" w:rsidRPr="003A0720" w14:paraId="51E3123F" w14:textId="77777777" w:rsidTr="00084DCD">
        <w:trPr>
          <w:trHeight w:val="515"/>
        </w:trPr>
        <w:tc>
          <w:tcPr>
            <w:tcW w:w="589" w:type="dxa"/>
            <w:vMerge/>
          </w:tcPr>
          <w:p w14:paraId="3ECA31DF" w14:textId="77777777" w:rsidR="00456133" w:rsidRPr="003A0720" w:rsidRDefault="00456133" w:rsidP="00456133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6DE7FE4B" w14:textId="77777777" w:rsidR="00456133" w:rsidRPr="003A0720" w:rsidRDefault="00456133" w:rsidP="00456133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6E237BC" w14:textId="5C1D96C6" w:rsidR="00456133" w:rsidRPr="003A0720" w:rsidRDefault="00456133" w:rsidP="00456133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Khan </w:t>
            </w: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SF,Shett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B,Fazal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I,Mustafa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 Khan </w:t>
            </w: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A,Muzzaffar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3A0720">
              <w:rPr>
                <w:rFonts w:cstheme="minorHAnsi"/>
              </w:rPr>
              <w:t xml:space="preserve"> </w:t>
            </w:r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Mir </w:t>
            </w: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F,Moothedath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 M,VJ </w:t>
            </w: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R,Muhamood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 M. 2023</w:t>
            </w:r>
          </w:p>
          <w:p w14:paraId="3F80FCF1" w14:textId="77777777" w:rsidR="00456133" w:rsidRPr="003A0720" w:rsidRDefault="00456133" w:rsidP="00456133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Licorice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 as a herbal extract in periodontal</w:t>
            </w:r>
          </w:p>
          <w:p w14:paraId="78136B9E" w14:textId="52748BA2" w:rsidR="00456133" w:rsidRPr="003A0720" w:rsidRDefault="00456133" w:rsidP="00456133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therapy:Drug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 xml:space="preserve"> Target Insight,17(1):70-7</w:t>
            </w:r>
          </w:p>
        </w:tc>
        <w:tc>
          <w:tcPr>
            <w:tcW w:w="1003" w:type="dxa"/>
          </w:tcPr>
          <w:p w14:paraId="1C148DA7" w14:textId="6094A213" w:rsidR="00456133" w:rsidRPr="003A0720" w:rsidRDefault="00456133" w:rsidP="00456133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5B8AFFE1" w14:textId="0DE636C4" w:rsidR="00456133" w:rsidRPr="003A0720" w:rsidRDefault="00456133" w:rsidP="00456133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7E874E20" w14:textId="7A5A2703" w:rsidR="00456133" w:rsidRPr="003A0720" w:rsidRDefault="00456133" w:rsidP="00456133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27CD1757" w14:textId="6F9799DE" w:rsidR="00456133" w:rsidRPr="003A0720" w:rsidRDefault="00456133" w:rsidP="00456133">
            <w:pPr>
              <w:rPr>
                <w:rFonts w:cstheme="minorHAnsi"/>
              </w:rPr>
            </w:pPr>
            <w:r>
              <w:rPr>
                <w:rFonts w:cstheme="minorHAnsi"/>
              </w:rPr>
              <w:t>0.283</w:t>
            </w:r>
          </w:p>
        </w:tc>
        <w:tc>
          <w:tcPr>
            <w:tcW w:w="954" w:type="dxa"/>
          </w:tcPr>
          <w:p w14:paraId="020525DF" w14:textId="0A77CD4A" w:rsidR="00456133" w:rsidRPr="003A0720" w:rsidRDefault="00456133" w:rsidP="0045613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1A8A9782" w14:textId="240A5DB2" w:rsidR="00456133" w:rsidRPr="003A0720" w:rsidRDefault="00456133" w:rsidP="00456133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Faculty with PG</w:t>
            </w:r>
          </w:p>
        </w:tc>
      </w:tr>
      <w:tr w:rsidR="004C5282" w:rsidRPr="003A0720" w14:paraId="5473B648" w14:textId="77777777" w:rsidTr="00084DCD">
        <w:trPr>
          <w:trHeight w:val="515"/>
        </w:trPr>
        <w:tc>
          <w:tcPr>
            <w:tcW w:w="589" w:type="dxa"/>
          </w:tcPr>
          <w:p w14:paraId="27C39369" w14:textId="77777777" w:rsidR="004C5282" w:rsidRPr="003A0720" w:rsidRDefault="004C528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14FAFA5E" w14:textId="77777777" w:rsidR="004C5282" w:rsidRPr="003A0720" w:rsidRDefault="004C528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B639CBF" w14:textId="7FCDF7A7" w:rsidR="004C5282" w:rsidRPr="003A0720" w:rsidRDefault="004C5282" w:rsidP="004C5282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Shetty, B., Faruk, S., Fazal, I. and Nambiar, M., 2023. THE IMPACT OF MICRONUTRIENTS IN PERIODONTAL HEALTH AND DISEASE: A NEGLECTED PATHWAY-A REVIEW.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Population Therapeutics and Clinical Pharmacology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pp.650-671.</w:t>
            </w:r>
          </w:p>
        </w:tc>
        <w:tc>
          <w:tcPr>
            <w:tcW w:w="1003" w:type="dxa"/>
          </w:tcPr>
          <w:p w14:paraId="378138DC" w14:textId="5A26CAC9" w:rsidR="004C5282" w:rsidRPr="003A0720" w:rsidRDefault="004C5282" w:rsidP="00084DC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736F11EE" w14:textId="6D25F62F" w:rsidR="004C5282" w:rsidRPr="003A0720" w:rsidRDefault="004C5282" w:rsidP="00753D62">
            <w:pPr>
              <w:rPr>
                <w:rFonts w:cstheme="minorHAnsi"/>
              </w:rPr>
            </w:pPr>
            <w:r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070FD8A4" w14:textId="03AD8554" w:rsidR="004C5282" w:rsidRPr="003A0720" w:rsidRDefault="00A53A0B" w:rsidP="00084DC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05F6C4C1" w14:textId="435101F8" w:rsidR="004C5282" w:rsidRPr="003A0720" w:rsidRDefault="004C5282" w:rsidP="00084DCD">
            <w:pPr>
              <w:rPr>
                <w:rFonts w:cstheme="minorHAnsi"/>
              </w:rPr>
            </w:pPr>
            <w:r>
              <w:rPr>
                <w:rFonts w:cstheme="minorHAnsi"/>
              </w:rPr>
              <w:t>0.35</w:t>
            </w:r>
          </w:p>
        </w:tc>
        <w:tc>
          <w:tcPr>
            <w:tcW w:w="954" w:type="dxa"/>
          </w:tcPr>
          <w:p w14:paraId="66E6C3ED" w14:textId="6D8FD4FA" w:rsidR="004C5282" w:rsidRPr="003A0720" w:rsidRDefault="00A53A0B" w:rsidP="00084DC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3DF7548F" w14:textId="188D182B" w:rsidR="004C5282" w:rsidRPr="003A0720" w:rsidRDefault="00A53A0B" w:rsidP="00753D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Faculty with PG</w:t>
            </w:r>
          </w:p>
        </w:tc>
      </w:tr>
      <w:tr w:rsidR="00753D62" w:rsidRPr="003A0720" w14:paraId="7766F3AE" w14:textId="77777777" w:rsidTr="00084DCD">
        <w:trPr>
          <w:trHeight w:val="515"/>
        </w:trPr>
        <w:tc>
          <w:tcPr>
            <w:tcW w:w="589" w:type="dxa"/>
          </w:tcPr>
          <w:p w14:paraId="671CD53E" w14:textId="76C51B29" w:rsidR="00753D62" w:rsidRPr="003A0720" w:rsidRDefault="00753D62" w:rsidP="00753D62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2</w:t>
            </w:r>
          </w:p>
        </w:tc>
        <w:tc>
          <w:tcPr>
            <w:tcW w:w="2011" w:type="dxa"/>
            <w:vMerge w:val="restart"/>
          </w:tcPr>
          <w:p w14:paraId="582D9459" w14:textId="02AFDD66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OMDR</w:t>
            </w:r>
          </w:p>
        </w:tc>
        <w:tc>
          <w:tcPr>
            <w:tcW w:w="4231" w:type="dxa"/>
          </w:tcPr>
          <w:p w14:paraId="370FA2E6" w14:textId="5E844794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Choudhary, R., Reddy, S.S., Nagaraju, R., Nagi, R., Rathore, P., Sen, R. and Haripriya., 2023. Effectiveness of Pharmacological Interventions for Sjogren Syndrome - A</w:t>
            </w:r>
          </w:p>
          <w:p w14:paraId="67A0F897" w14:textId="12E308F7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Systematic Review. J Clinical and Experimental Dentistry.15(01), pp. e51-63</w:t>
            </w:r>
          </w:p>
        </w:tc>
        <w:tc>
          <w:tcPr>
            <w:tcW w:w="1003" w:type="dxa"/>
          </w:tcPr>
          <w:p w14:paraId="256DA607" w14:textId="36BB7A06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YES </w:t>
            </w:r>
          </w:p>
        </w:tc>
        <w:tc>
          <w:tcPr>
            <w:tcW w:w="1781" w:type="dxa"/>
          </w:tcPr>
          <w:p w14:paraId="7A8726F7" w14:textId="0A49B288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Scopus Q2 </w:t>
            </w:r>
          </w:p>
        </w:tc>
        <w:tc>
          <w:tcPr>
            <w:tcW w:w="783" w:type="dxa"/>
          </w:tcPr>
          <w:p w14:paraId="2DEEDC6D" w14:textId="2B829DFB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NO </w:t>
            </w:r>
          </w:p>
        </w:tc>
        <w:tc>
          <w:tcPr>
            <w:tcW w:w="890" w:type="dxa"/>
          </w:tcPr>
          <w:p w14:paraId="3F8AFD77" w14:textId="4CF36233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YES </w:t>
            </w:r>
          </w:p>
        </w:tc>
        <w:tc>
          <w:tcPr>
            <w:tcW w:w="954" w:type="dxa"/>
          </w:tcPr>
          <w:p w14:paraId="522A9D17" w14:textId="3789DF1A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NO </w:t>
            </w:r>
          </w:p>
        </w:tc>
        <w:tc>
          <w:tcPr>
            <w:tcW w:w="3018" w:type="dxa"/>
          </w:tcPr>
          <w:p w14:paraId="47D9538C" w14:textId="787AAB5B" w:rsidR="00753D62" w:rsidRPr="003A0720" w:rsidRDefault="00753D62" w:rsidP="00753D62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FACULTY WITH PG</w:t>
            </w:r>
          </w:p>
        </w:tc>
      </w:tr>
      <w:tr w:rsidR="00773352" w:rsidRPr="003A0720" w14:paraId="65133654" w14:textId="77777777" w:rsidTr="00084DCD">
        <w:trPr>
          <w:trHeight w:val="515"/>
        </w:trPr>
        <w:tc>
          <w:tcPr>
            <w:tcW w:w="589" w:type="dxa"/>
          </w:tcPr>
          <w:p w14:paraId="53897FC9" w14:textId="77777777" w:rsidR="00773352" w:rsidRPr="003A0720" w:rsidRDefault="0077335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5CF82393" w14:textId="77777777" w:rsidR="00773352" w:rsidRPr="003A0720" w:rsidRDefault="0077335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49FA201" w14:textId="77777777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K Srinivas., N. Ravleen. and N, Rakesh. (2023).</w:t>
            </w:r>
          </w:p>
          <w:p w14:paraId="5B16FDDE" w14:textId="77777777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Sialography: A pictorial review. J Oral Radiology.</w:t>
            </w:r>
          </w:p>
          <w:p w14:paraId="3679AB46" w14:textId="1C161102" w:rsidR="005A5A20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39(2):225-234</w:t>
            </w:r>
          </w:p>
        </w:tc>
        <w:tc>
          <w:tcPr>
            <w:tcW w:w="1003" w:type="dxa"/>
          </w:tcPr>
          <w:p w14:paraId="74AC7358" w14:textId="62D93F21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16D1EBC9" w14:textId="4222617C" w:rsidR="00773352" w:rsidRPr="003A0720" w:rsidRDefault="00753D62" w:rsidP="00577402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0E4F3864" w14:textId="4E9DFCAF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10331AEA" w14:textId="56C1963C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954" w:type="dxa"/>
          </w:tcPr>
          <w:p w14:paraId="139C3A88" w14:textId="23A9E0AA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B7E3DBC" w14:textId="29ECB107" w:rsidR="00773352" w:rsidRPr="003A0720" w:rsidRDefault="003A0720" w:rsidP="00577402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773352" w:rsidRPr="003A0720" w14:paraId="70D78CDA" w14:textId="77777777" w:rsidTr="00084DCD">
        <w:trPr>
          <w:trHeight w:val="515"/>
        </w:trPr>
        <w:tc>
          <w:tcPr>
            <w:tcW w:w="589" w:type="dxa"/>
          </w:tcPr>
          <w:p w14:paraId="4E6B7026" w14:textId="77777777" w:rsidR="00773352" w:rsidRPr="003A0720" w:rsidRDefault="0077335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ABA3414" w14:textId="77777777" w:rsidR="00773352" w:rsidRPr="003A0720" w:rsidRDefault="0077335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CC359D9" w14:textId="0351F61A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3A0720">
              <w:rPr>
                <w:rFonts w:cstheme="minorHAnsi"/>
                <w:color w:val="222222"/>
                <w:shd w:val="clear" w:color="auto" w:fill="FFFFFF"/>
              </w:rPr>
              <w:t>Rajarathnam</w:t>
            </w:r>
            <w:proofErr w:type="spellEnd"/>
            <w:r w:rsidRPr="003A0720">
              <w:rPr>
                <w:rFonts w:cstheme="minorHAnsi"/>
                <w:color w:val="222222"/>
                <w:shd w:val="clear" w:color="auto" w:fill="FFFFFF"/>
              </w:rPr>
              <w:t>, B.N., Rakesh, N., Murali, A., Anbu, J. and Asha, M.L., (2023). Cysteamine Hydrochloride, a Transglutaminase2 Inhibitor as Therapeutic Potential for</w:t>
            </w:r>
          </w:p>
          <w:p w14:paraId="246CA7AD" w14:textId="0D35BF21" w:rsidR="005A5A20" w:rsidRPr="003A0720" w:rsidRDefault="00753D62" w:rsidP="00753D62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>Oral Submucous Fibrosis. Journal of Indian Academy of Oral Medicine and Radiology, 35(1), pp.4-9</w:t>
            </w:r>
          </w:p>
        </w:tc>
        <w:tc>
          <w:tcPr>
            <w:tcW w:w="1003" w:type="dxa"/>
          </w:tcPr>
          <w:p w14:paraId="77696B77" w14:textId="43CE9440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224CA958" w14:textId="721E84DB" w:rsidR="00773352" w:rsidRPr="003A0720" w:rsidRDefault="00753D62" w:rsidP="00577402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72096B35" w14:textId="613989E2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6E62D314" w14:textId="10DD61C6" w:rsidR="00773352" w:rsidRPr="003A0720" w:rsidRDefault="0057740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604885A6" w14:textId="4AF19DA9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593C13FC" w14:textId="22DD7C13" w:rsidR="00773352" w:rsidRPr="003A0720" w:rsidRDefault="003A0720" w:rsidP="00577402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773352" w:rsidRPr="003A0720" w14:paraId="744B7A61" w14:textId="77777777" w:rsidTr="00084DCD">
        <w:trPr>
          <w:trHeight w:val="515"/>
        </w:trPr>
        <w:tc>
          <w:tcPr>
            <w:tcW w:w="589" w:type="dxa"/>
          </w:tcPr>
          <w:p w14:paraId="2F168837" w14:textId="77777777" w:rsidR="00773352" w:rsidRPr="003A0720" w:rsidRDefault="0077335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E746021" w14:textId="77777777" w:rsidR="00773352" w:rsidRPr="003A0720" w:rsidRDefault="0077335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96104D4" w14:textId="38F1011A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Rajarathnam</w:t>
            </w:r>
            <w:proofErr w:type="spellEnd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B.N., Rakesh, N., Murali, A. and Asha, M.L., (2023). Systemic effect of arecoline on the </w:t>
            </w:r>
            <w:r w:rsidRPr="003A0720">
              <w:rPr>
                <w:rFonts w:cstheme="minorHAnsi"/>
              </w:rPr>
              <w:t xml:space="preserve"> </w:t>
            </w: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gastrointestinal system in oral submucous fibrosis affected </w:t>
            </w:r>
            <w:proofErr w:type="spellStart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wistar</w:t>
            </w:r>
            <w:proofErr w:type="spellEnd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rats. Journal of Oral and Maxillofacial</w:t>
            </w:r>
          </w:p>
          <w:p w14:paraId="219883AB" w14:textId="5A030BA9" w:rsidR="0077335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Pathology, 26(4), pp.598.</w:t>
            </w:r>
          </w:p>
        </w:tc>
        <w:tc>
          <w:tcPr>
            <w:tcW w:w="1003" w:type="dxa"/>
          </w:tcPr>
          <w:p w14:paraId="72FFFB01" w14:textId="5027A731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14D44EE" w14:textId="12A49AB0" w:rsidR="00773352" w:rsidRPr="003A0720" w:rsidRDefault="00753D62" w:rsidP="00577402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</w:t>
            </w:r>
            <w:r w:rsidR="00577402" w:rsidRPr="003A0720">
              <w:rPr>
                <w:rFonts w:cstheme="minorHAnsi"/>
              </w:rPr>
              <w:t>3</w:t>
            </w:r>
          </w:p>
        </w:tc>
        <w:tc>
          <w:tcPr>
            <w:tcW w:w="783" w:type="dxa"/>
          </w:tcPr>
          <w:p w14:paraId="6C5A4A21" w14:textId="7256F714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No </w:t>
            </w:r>
          </w:p>
        </w:tc>
        <w:tc>
          <w:tcPr>
            <w:tcW w:w="890" w:type="dxa"/>
          </w:tcPr>
          <w:p w14:paraId="5EDAD4DD" w14:textId="77FBB9CF" w:rsidR="00773352" w:rsidRPr="003A0720" w:rsidRDefault="0057740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0C250C50" w14:textId="32BCFD3E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04560D5E" w14:textId="08F8943B" w:rsidR="00773352" w:rsidRPr="003A0720" w:rsidRDefault="003A0720" w:rsidP="00577402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773352" w:rsidRPr="003A0720" w14:paraId="692B1A97" w14:textId="77777777" w:rsidTr="00084DCD">
        <w:trPr>
          <w:trHeight w:val="515"/>
        </w:trPr>
        <w:tc>
          <w:tcPr>
            <w:tcW w:w="589" w:type="dxa"/>
          </w:tcPr>
          <w:p w14:paraId="2447E152" w14:textId="77777777" w:rsidR="00773352" w:rsidRPr="003A0720" w:rsidRDefault="0077335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749BDB28" w14:textId="77777777" w:rsidR="00773352" w:rsidRPr="003A0720" w:rsidRDefault="0077335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C20475B" w14:textId="1E236B01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Sujatha. S. Reddy., Rizwana, Azmi., Shwetha. V., Pavan. T., Ravleen, Nagi., Radha, Prashanth and N. Rakesh.</w:t>
            </w:r>
          </w:p>
          <w:p w14:paraId="276A4A43" w14:textId="31AC06F4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lastRenderedPageBreak/>
              <w:t>(2023) Assessment of pH and Copper Content among Raw and Commercial Areca Nut Products, Contributing Factor towards Oral Submucous Fibrosis. Mal J Med</w:t>
            </w:r>
          </w:p>
          <w:p w14:paraId="1A337B9B" w14:textId="33AFB878" w:rsidR="0077335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Health Sci, 19(2), pp.197-202.</w:t>
            </w:r>
          </w:p>
        </w:tc>
        <w:tc>
          <w:tcPr>
            <w:tcW w:w="1003" w:type="dxa"/>
          </w:tcPr>
          <w:p w14:paraId="44199657" w14:textId="046E0EA7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81" w:type="dxa"/>
          </w:tcPr>
          <w:p w14:paraId="24A967D1" w14:textId="7A776A11" w:rsidR="00773352" w:rsidRPr="003A0720" w:rsidRDefault="00753D62" w:rsidP="00577402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12007919" w14:textId="2667E728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37326217" w14:textId="4CB784D5" w:rsidR="00773352" w:rsidRPr="003A0720" w:rsidRDefault="00F766A7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22E9D410" w14:textId="5325D820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7F793D21" w14:textId="0E5508A5" w:rsidR="00773352" w:rsidRPr="003A0720" w:rsidRDefault="003A0720" w:rsidP="00577402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773352" w:rsidRPr="003A0720" w14:paraId="1C707141" w14:textId="77777777" w:rsidTr="00084DCD">
        <w:trPr>
          <w:trHeight w:val="515"/>
        </w:trPr>
        <w:tc>
          <w:tcPr>
            <w:tcW w:w="589" w:type="dxa"/>
          </w:tcPr>
          <w:p w14:paraId="33FA2265" w14:textId="77777777" w:rsidR="00773352" w:rsidRPr="003A0720" w:rsidRDefault="0077335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E065CC0" w14:textId="77777777" w:rsidR="00773352" w:rsidRPr="003A0720" w:rsidRDefault="0077335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130B8AA" w14:textId="5677501D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N, Ravleen., M. Arvind and R. Nagaraju. (2023). Effectiveness of photodynamic therapy (PDT) in the management of </w:t>
            </w:r>
            <w:r w:rsidR="00F766A7"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symptomatic</w:t>
            </w: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oral lichen planus- A</w:t>
            </w:r>
          </w:p>
          <w:p w14:paraId="75210657" w14:textId="732136BC" w:rsidR="0077335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systematic review. J of oral biology and craniofacial research, 13, pp 353-359</w:t>
            </w:r>
          </w:p>
        </w:tc>
        <w:tc>
          <w:tcPr>
            <w:tcW w:w="1003" w:type="dxa"/>
          </w:tcPr>
          <w:p w14:paraId="0EFD3A95" w14:textId="048E5003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23BD2D17" w14:textId="57B86B02" w:rsidR="00773352" w:rsidRPr="003A0720" w:rsidRDefault="00753D62" w:rsidP="0071464E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2B777F5B" w14:textId="7CE29DB4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225DA226" w14:textId="3BBF0A2B" w:rsidR="00773352" w:rsidRPr="003A0720" w:rsidRDefault="00F766A7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7D224858" w14:textId="6B621C0F" w:rsidR="0077335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No </w:t>
            </w:r>
          </w:p>
        </w:tc>
        <w:tc>
          <w:tcPr>
            <w:tcW w:w="3018" w:type="dxa"/>
          </w:tcPr>
          <w:p w14:paraId="273E4F2E" w14:textId="4F39D2A2" w:rsidR="00773352" w:rsidRPr="003A0720" w:rsidRDefault="003A0720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753D62" w:rsidRPr="003A0720" w14:paraId="19F057F2" w14:textId="77777777" w:rsidTr="00084DCD">
        <w:trPr>
          <w:trHeight w:val="515"/>
        </w:trPr>
        <w:tc>
          <w:tcPr>
            <w:tcW w:w="589" w:type="dxa"/>
          </w:tcPr>
          <w:p w14:paraId="413847D6" w14:textId="77777777" w:rsidR="00753D62" w:rsidRPr="003A0720" w:rsidRDefault="00753D6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 w:val="restart"/>
          </w:tcPr>
          <w:p w14:paraId="2728AF3D" w14:textId="77777777" w:rsidR="00753D62" w:rsidRPr="003A0720" w:rsidRDefault="00753D6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12CA480" w14:textId="77777777" w:rsidR="00753D62" w:rsidRPr="00887795" w:rsidRDefault="00753D62" w:rsidP="00753D62">
            <w:pPr>
              <w:spacing w:after="0" w:line="240" w:lineRule="auto"/>
              <w:rPr>
                <w:rFonts w:cstheme="minorHAnsi"/>
                <w:spacing w:val="3"/>
                <w:shd w:val="clear" w:color="auto" w:fill="FFFFFF"/>
              </w:rPr>
            </w:pPr>
            <w:r w:rsidRPr="00887795">
              <w:rPr>
                <w:rFonts w:cstheme="minorHAnsi"/>
                <w:spacing w:val="3"/>
                <w:shd w:val="clear" w:color="auto" w:fill="FFFFFF"/>
              </w:rPr>
              <w:t>Optimizing Bone Regeneration Akin to Farmers Cultivation A Narrative Review Dr.</w:t>
            </w:r>
          </w:p>
          <w:p w14:paraId="38AF9632" w14:textId="77777777" w:rsidR="00753D62" w:rsidRPr="00887795" w:rsidRDefault="00753D62" w:rsidP="00753D62">
            <w:pPr>
              <w:spacing w:after="0" w:line="240" w:lineRule="auto"/>
              <w:rPr>
                <w:rFonts w:cstheme="minorHAnsi"/>
                <w:spacing w:val="3"/>
                <w:shd w:val="clear" w:color="auto" w:fill="FFFFFF"/>
              </w:rPr>
            </w:pPr>
            <w:proofErr w:type="spellStart"/>
            <w:r w:rsidRPr="00887795">
              <w:rPr>
                <w:rFonts w:cstheme="minorHAnsi"/>
                <w:spacing w:val="3"/>
                <w:shd w:val="clear" w:color="auto" w:fill="FFFFFF"/>
              </w:rPr>
              <w:t>Rajanikanth</w:t>
            </w:r>
            <w:proofErr w:type="spellEnd"/>
            <w:r w:rsidRPr="00887795">
              <w:rPr>
                <w:rFonts w:cstheme="minorHAnsi"/>
                <w:spacing w:val="3"/>
                <w:shd w:val="clear" w:color="auto" w:fill="FFFFFF"/>
              </w:rPr>
              <w:t xml:space="preserve"> B </w:t>
            </w:r>
            <w:proofErr w:type="spellStart"/>
            <w:r w:rsidRPr="00887795">
              <w:rPr>
                <w:rFonts w:cstheme="minorHAnsi"/>
                <w:spacing w:val="3"/>
                <w:shd w:val="clear" w:color="auto" w:fill="FFFFFF"/>
              </w:rPr>
              <w:t>Rajaram,Dr</w:t>
            </w:r>
            <w:proofErr w:type="spellEnd"/>
            <w:r w:rsidRPr="00887795">
              <w:rPr>
                <w:rFonts w:cstheme="minorHAnsi"/>
                <w:spacing w:val="3"/>
                <w:shd w:val="clear" w:color="auto" w:fill="FFFFFF"/>
              </w:rPr>
              <w:t>. Kavitha Prasad , Dr. Vanitha Narayana , Dr. Shweta</w:t>
            </w:r>
          </w:p>
          <w:p w14:paraId="51DB9096" w14:textId="77777777" w:rsidR="00753D62" w:rsidRPr="00887795" w:rsidRDefault="00753D62" w:rsidP="00753D62">
            <w:pPr>
              <w:spacing w:after="0" w:line="240" w:lineRule="auto"/>
              <w:rPr>
                <w:rFonts w:cstheme="minorHAnsi"/>
                <w:spacing w:val="3"/>
                <w:shd w:val="clear" w:color="auto" w:fill="FFFFFF"/>
              </w:rPr>
            </w:pPr>
            <w:r w:rsidRPr="00887795">
              <w:rPr>
                <w:rFonts w:cstheme="minorHAnsi"/>
                <w:spacing w:val="3"/>
                <w:shd w:val="clear" w:color="auto" w:fill="FFFFFF"/>
              </w:rPr>
              <w:t>Venkataramana</w:t>
            </w:r>
          </w:p>
          <w:p w14:paraId="5ED79079" w14:textId="37696346" w:rsidR="00577402" w:rsidRPr="003A0720" w:rsidRDefault="0057740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003" w:type="dxa"/>
          </w:tcPr>
          <w:p w14:paraId="0ECE5F95" w14:textId="3451F113" w:rsidR="00753D6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1E3580A4" w14:textId="24392878" w:rsidR="00753D62" w:rsidRPr="003A0720" w:rsidRDefault="00753D62" w:rsidP="0071464E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0594DF2F" w14:textId="7FE21056" w:rsidR="00753D6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3B42CC1E" w14:textId="076C6646" w:rsidR="00753D6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0C9D5DAA" w14:textId="72C55AC3" w:rsidR="00753D6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0C1EF02B" w14:textId="279C4AB9" w:rsidR="00753D62" w:rsidRPr="003A0720" w:rsidRDefault="00753D62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All </w:t>
            </w:r>
            <w:r w:rsidR="00B776EB" w:rsidRPr="003A0720">
              <w:rPr>
                <w:rFonts w:cstheme="minorHAnsi"/>
              </w:rPr>
              <w:t>F</w:t>
            </w:r>
            <w:r w:rsidRPr="003A0720">
              <w:rPr>
                <w:rFonts w:cstheme="minorHAnsi"/>
              </w:rPr>
              <w:t>aculty</w:t>
            </w:r>
          </w:p>
        </w:tc>
      </w:tr>
      <w:tr w:rsidR="00753D62" w:rsidRPr="003A0720" w14:paraId="5E05579B" w14:textId="77777777" w:rsidTr="00084DCD">
        <w:trPr>
          <w:trHeight w:val="515"/>
        </w:trPr>
        <w:tc>
          <w:tcPr>
            <w:tcW w:w="589" w:type="dxa"/>
          </w:tcPr>
          <w:p w14:paraId="33A82657" w14:textId="77777777" w:rsidR="00753D62" w:rsidRPr="003A0720" w:rsidRDefault="00753D6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54D3A408" w14:textId="77777777" w:rsidR="00753D62" w:rsidRPr="003A0720" w:rsidRDefault="00753D6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0FD4EDE1" w14:textId="372DBED8" w:rsidR="00753D62" w:rsidRPr="003A0720" w:rsidRDefault="00B776EB" w:rsidP="00753D62">
            <w:pPr>
              <w:spacing w:after="0" w:line="240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Choudhary, R., Reddy, S.S., Nagaraju, R., </w:t>
            </w:r>
            <w:r w:rsidR="00F766A7" w:rsidRPr="003A072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Kunjumon</w:t>
            </w:r>
            <w:r w:rsidRPr="003A072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S.P., Setia, S. and Sharma, R., 2023. Bisphosphonate-related osteoradionecrosis of the jaw. </w:t>
            </w:r>
            <w:r w:rsidRPr="003A0720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Saudi Journal of Oral Sciences</w:t>
            </w:r>
            <w:r w:rsidRPr="003A072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3A0720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Pr="003A072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(1).</w:t>
            </w:r>
          </w:p>
          <w:p w14:paraId="5648AB3C" w14:textId="0911C27D" w:rsidR="00577402" w:rsidRPr="003A0720" w:rsidRDefault="0057740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003" w:type="dxa"/>
          </w:tcPr>
          <w:p w14:paraId="3CDDFEF4" w14:textId="04EEEF34" w:rsidR="00753D62" w:rsidRPr="003A0720" w:rsidRDefault="00B776EB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2B8AAE88" w14:textId="12282204" w:rsidR="00753D62" w:rsidRPr="003A0720" w:rsidRDefault="00B776EB" w:rsidP="0071464E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025673B9" w14:textId="28994DC1" w:rsidR="00753D62" w:rsidRPr="003A0720" w:rsidRDefault="00B776EB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49A22B4A" w14:textId="5846A40F" w:rsidR="00753D62" w:rsidRPr="003A0720" w:rsidRDefault="00B776EB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6D63A0BB" w14:textId="3B479611" w:rsidR="00753D62" w:rsidRPr="003A0720" w:rsidRDefault="00B776EB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221A1787" w14:textId="32380EF5" w:rsidR="00753D62" w:rsidRPr="003A0720" w:rsidRDefault="00B776EB" w:rsidP="00084DCD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1C4C3A" w:rsidRPr="003A0720" w14:paraId="2EBA7221" w14:textId="77777777" w:rsidTr="00084DCD">
        <w:trPr>
          <w:trHeight w:val="515"/>
        </w:trPr>
        <w:tc>
          <w:tcPr>
            <w:tcW w:w="589" w:type="dxa"/>
          </w:tcPr>
          <w:p w14:paraId="7089B622" w14:textId="77777777" w:rsidR="001C4C3A" w:rsidRPr="003A0720" w:rsidRDefault="001C4C3A" w:rsidP="001C4C3A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6E1D2877" w14:textId="77777777" w:rsidR="001C4C3A" w:rsidRPr="003A0720" w:rsidRDefault="001C4C3A" w:rsidP="001C4C3A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FA64FA5" w14:textId="57621968" w:rsidR="001C4C3A" w:rsidRPr="003A0720" w:rsidRDefault="001C4C3A" w:rsidP="001C4C3A">
            <w:pPr>
              <w:spacing w:after="0" w:line="240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t>Lekshmy</w:t>
            </w:r>
            <w:proofErr w:type="spellEnd"/>
            <w:r>
              <w:t xml:space="preserve"> J, Rakesh </w:t>
            </w:r>
            <w:proofErr w:type="spellStart"/>
            <w:r>
              <w:t>Nagaraju</w:t>
            </w:r>
            <w:proofErr w:type="spellEnd"/>
            <w:r>
              <w:t xml:space="preserve">, </w:t>
            </w:r>
            <w:proofErr w:type="spellStart"/>
            <w:r>
              <w:t>Saraswathy</w:t>
            </w:r>
            <w:proofErr w:type="spellEnd"/>
            <w:r>
              <w:t xml:space="preserve"> G R. 2023. </w:t>
            </w:r>
            <w:proofErr w:type="spellStart"/>
            <w:r>
              <w:t>Glabridin</w:t>
            </w:r>
            <w:proofErr w:type="spellEnd"/>
            <w:r>
              <w:t xml:space="preserve"> from glycyrrhiza- a versatile natural antimicrobial. Eur. Chem. Bull, 12(Special Issue 13), pp.01 –06. </w:t>
            </w:r>
          </w:p>
        </w:tc>
        <w:tc>
          <w:tcPr>
            <w:tcW w:w="1003" w:type="dxa"/>
          </w:tcPr>
          <w:p w14:paraId="5A4A54DE" w14:textId="6975A044" w:rsidR="001C4C3A" w:rsidRPr="003A0720" w:rsidRDefault="001C4C3A" w:rsidP="001C4C3A">
            <w:pPr>
              <w:rPr>
                <w:rFonts w:cstheme="minorHAnsi"/>
              </w:rPr>
            </w:pPr>
            <w:r>
              <w:t>No</w:t>
            </w:r>
          </w:p>
        </w:tc>
        <w:tc>
          <w:tcPr>
            <w:tcW w:w="1781" w:type="dxa"/>
          </w:tcPr>
          <w:p w14:paraId="70A6A016" w14:textId="609249B6" w:rsidR="001C4C3A" w:rsidRPr="003A0720" w:rsidRDefault="001C4C3A" w:rsidP="001C4C3A">
            <w:pPr>
              <w:jc w:val="center"/>
              <w:rPr>
                <w:rFonts w:cstheme="minorHAnsi"/>
              </w:rPr>
            </w:pPr>
            <w:r>
              <w:t xml:space="preserve">      Scopus Q3</w:t>
            </w:r>
          </w:p>
        </w:tc>
        <w:tc>
          <w:tcPr>
            <w:tcW w:w="783" w:type="dxa"/>
          </w:tcPr>
          <w:p w14:paraId="43586B38" w14:textId="6722B25E" w:rsidR="001C4C3A" w:rsidRPr="003A0720" w:rsidRDefault="001C4C3A" w:rsidP="001C4C3A">
            <w:pPr>
              <w:rPr>
                <w:rFonts w:cstheme="minorHAnsi"/>
              </w:rPr>
            </w:pPr>
            <w:r>
              <w:t xml:space="preserve">No </w:t>
            </w:r>
          </w:p>
        </w:tc>
        <w:tc>
          <w:tcPr>
            <w:tcW w:w="890" w:type="dxa"/>
          </w:tcPr>
          <w:p w14:paraId="32162DAB" w14:textId="77777777" w:rsidR="001C4C3A" w:rsidRPr="003A0720" w:rsidRDefault="001C4C3A" w:rsidP="001C4C3A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17E2C94C" w14:textId="3921A587" w:rsidR="001C4C3A" w:rsidRPr="003A0720" w:rsidRDefault="001C4C3A" w:rsidP="001C4C3A">
            <w:pPr>
              <w:rPr>
                <w:rFonts w:cstheme="minorHAnsi"/>
              </w:rPr>
            </w:pPr>
            <w:r>
              <w:t xml:space="preserve">No </w:t>
            </w:r>
          </w:p>
        </w:tc>
        <w:tc>
          <w:tcPr>
            <w:tcW w:w="3018" w:type="dxa"/>
          </w:tcPr>
          <w:p w14:paraId="725129B8" w14:textId="5AD7FCAA" w:rsidR="001C4C3A" w:rsidRPr="003A0720" w:rsidRDefault="001C4C3A" w:rsidP="001C4C3A">
            <w:pPr>
              <w:rPr>
                <w:rFonts w:cstheme="minorHAnsi"/>
              </w:rPr>
            </w:pPr>
            <w:r>
              <w:t xml:space="preserve">Dr Rakesh N with PhD Scholar Dr </w:t>
            </w:r>
            <w:proofErr w:type="spellStart"/>
            <w:r>
              <w:t>Lekshmy</w:t>
            </w:r>
            <w:proofErr w:type="spellEnd"/>
            <w:r>
              <w:t xml:space="preserve"> J</w:t>
            </w:r>
          </w:p>
        </w:tc>
      </w:tr>
      <w:tr w:rsidR="001C4C3A" w:rsidRPr="003A0720" w14:paraId="7914B25B" w14:textId="77777777" w:rsidTr="00084DCD">
        <w:trPr>
          <w:trHeight w:val="515"/>
        </w:trPr>
        <w:tc>
          <w:tcPr>
            <w:tcW w:w="589" w:type="dxa"/>
          </w:tcPr>
          <w:p w14:paraId="0CDA3714" w14:textId="77777777" w:rsidR="001C4C3A" w:rsidRPr="003A0720" w:rsidRDefault="001C4C3A" w:rsidP="001C4C3A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2A7FB9E2" w14:textId="77777777" w:rsidR="001C4C3A" w:rsidRPr="003A0720" w:rsidRDefault="001C4C3A" w:rsidP="001C4C3A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010ACEC0" w14:textId="2B04F0AF" w:rsidR="001C4C3A" w:rsidRPr="003A0720" w:rsidRDefault="001C4C3A" w:rsidP="001C4C3A">
            <w:pPr>
              <w:spacing w:after="0" w:line="240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t xml:space="preserve">Shwetha V, Sujatha S, Rakesh N, Pavan T, Pooja Rathore. Multimodal approach in management of </w:t>
            </w:r>
            <w:proofErr w:type="spellStart"/>
            <w:r>
              <w:t>vulvo</w:t>
            </w:r>
            <w:proofErr w:type="spellEnd"/>
            <w:r>
              <w:t>- vaginal gingival syndrome – a rare variant of oral lichen planus</w:t>
            </w:r>
          </w:p>
        </w:tc>
        <w:tc>
          <w:tcPr>
            <w:tcW w:w="1003" w:type="dxa"/>
          </w:tcPr>
          <w:p w14:paraId="16AA3F58" w14:textId="779224C4" w:rsidR="001C4C3A" w:rsidRPr="003A0720" w:rsidRDefault="001C4C3A" w:rsidP="001C4C3A">
            <w:pPr>
              <w:rPr>
                <w:rFonts w:cstheme="minorHAnsi"/>
              </w:rPr>
            </w:pPr>
            <w:r>
              <w:t>No</w:t>
            </w:r>
          </w:p>
        </w:tc>
        <w:tc>
          <w:tcPr>
            <w:tcW w:w="1781" w:type="dxa"/>
          </w:tcPr>
          <w:p w14:paraId="1C4CD12A" w14:textId="3C996013" w:rsidR="001C4C3A" w:rsidRPr="003A0720" w:rsidRDefault="001C4C3A" w:rsidP="001C4C3A">
            <w:pPr>
              <w:jc w:val="center"/>
              <w:rPr>
                <w:rFonts w:cstheme="minorHAnsi"/>
              </w:rPr>
            </w:pPr>
            <w:r>
              <w:t xml:space="preserve">          Scopus Q4</w:t>
            </w:r>
          </w:p>
        </w:tc>
        <w:tc>
          <w:tcPr>
            <w:tcW w:w="783" w:type="dxa"/>
          </w:tcPr>
          <w:p w14:paraId="4A00EE18" w14:textId="63078FE4" w:rsidR="001C4C3A" w:rsidRPr="003A0720" w:rsidRDefault="001C4C3A" w:rsidP="001C4C3A">
            <w:pPr>
              <w:rPr>
                <w:rFonts w:cstheme="minorHAnsi"/>
              </w:rPr>
            </w:pPr>
            <w:r>
              <w:t>No</w:t>
            </w:r>
          </w:p>
        </w:tc>
        <w:tc>
          <w:tcPr>
            <w:tcW w:w="890" w:type="dxa"/>
          </w:tcPr>
          <w:p w14:paraId="20BAE8E6" w14:textId="3428199C" w:rsidR="001C4C3A" w:rsidRPr="003A0720" w:rsidRDefault="001C4C3A" w:rsidP="001C4C3A">
            <w:pPr>
              <w:rPr>
                <w:rFonts w:cstheme="minorHAnsi"/>
              </w:rPr>
            </w:pPr>
            <w:r>
              <w:t xml:space="preserve">  0.16</w:t>
            </w:r>
          </w:p>
        </w:tc>
        <w:tc>
          <w:tcPr>
            <w:tcW w:w="954" w:type="dxa"/>
          </w:tcPr>
          <w:p w14:paraId="3D857701" w14:textId="016B5236" w:rsidR="001C4C3A" w:rsidRPr="003A0720" w:rsidRDefault="001C4C3A" w:rsidP="001C4C3A">
            <w:pPr>
              <w:rPr>
                <w:rFonts w:cstheme="minorHAnsi"/>
              </w:rPr>
            </w:pPr>
            <w:r>
              <w:t xml:space="preserve">No </w:t>
            </w:r>
          </w:p>
        </w:tc>
        <w:tc>
          <w:tcPr>
            <w:tcW w:w="3018" w:type="dxa"/>
          </w:tcPr>
          <w:p w14:paraId="443324B9" w14:textId="0D3DA19C" w:rsidR="001C4C3A" w:rsidRPr="003A0720" w:rsidRDefault="001C4C3A" w:rsidP="001C4C3A">
            <w:pPr>
              <w:rPr>
                <w:rFonts w:cstheme="minorHAnsi"/>
              </w:rPr>
            </w:pPr>
            <w:r>
              <w:t xml:space="preserve">Shwetha V, Sujatha S, Rakesh N, Pavan Kumar T, Pooja Rathore </w:t>
            </w:r>
          </w:p>
        </w:tc>
      </w:tr>
      <w:tr w:rsidR="008E760F" w:rsidRPr="003A0720" w14:paraId="1793DCFE" w14:textId="77777777" w:rsidTr="00084DCD">
        <w:trPr>
          <w:trHeight w:val="515"/>
        </w:trPr>
        <w:tc>
          <w:tcPr>
            <w:tcW w:w="589" w:type="dxa"/>
            <w:vMerge w:val="restart"/>
          </w:tcPr>
          <w:p w14:paraId="4A5A4D2B" w14:textId="5E59DA01" w:rsidR="008E760F" w:rsidRPr="003A0720" w:rsidRDefault="008E760F" w:rsidP="008E760F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3</w:t>
            </w:r>
          </w:p>
        </w:tc>
        <w:tc>
          <w:tcPr>
            <w:tcW w:w="2011" w:type="dxa"/>
            <w:vMerge w:val="restart"/>
          </w:tcPr>
          <w:p w14:paraId="054F3F38" w14:textId="7FC5B265" w:rsidR="008E760F" w:rsidRPr="003A0720" w:rsidRDefault="008E760F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PROSTHO</w:t>
            </w:r>
          </w:p>
        </w:tc>
        <w:tc>
          <w:tcPr>
            <w:tcW w:w="4231" w:type="dxa"/>
          </w:tcPr>
          <w:p w14:paraId="28B503E2" w14:textId="6C84A732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Suma., </w:t>
            </w:r>
            <w:r w:rsidR="00F766A7"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Singhania S</w:t>
            </w: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., Jain, R., 2023.Comparision </w:t>
            </w:r>
            <w:r w:rsidR="00F766A7"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of</w:t>
            </w: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The Compressive </w:t>
            </w: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lastRenderedPageBreak/>
              <w:t>Strength Of Maxillary Complete</w:t>
            </w:r>
          </w:p>
          <w:p w14:paraId="4C38FD97" w14:textId="308D7D5C" w:rsidR="00BB1959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Denture Reinforced With Glass Fibers And Chrysalis Fibers. International Journal of Dental Science and Clinical Research, 5(1), pp 42-50</w:t>
            </w:r>
          </w:p>
        </w:tc>
        <w:tc>
          <w:tcPr>
            <w:tcW w:w="1003" w:type="dxa"/>
          </w:tcPr>
          <w:p w14:paraId="4165772D" w14:textId="639DA0F7" w:rsidR="008E760F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81" w:type="dxa"/>
          </w:tcPr>
          <w:p w14:paraId="6C99D3B5" w14:textId="5C157780" w:rsidR="008E760F" w:rsidRPr="003A0720" w:rsidRDefault="00753D62" w:rsidP="0071464E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645BC934" w14:textId="70B71AF8" w:rsidR="008E760F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3042B2DF" w14:textId="11B1A483" w:rsidR="008E760F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954" w:type="dxa"/>
          </w:tcPr>
          <w:p w14:paraId="09D4ECD5" w14:textId="2836A2A6" w:rsidR="008E760F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88E565C" w14:textId="6DB604C6" w:rsidR="008E760F" w:rsidRPr="003A0720" w:rsidRDefault="003A0720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8E760F" w:rsidRPr="003A0720" w14:paraId="404325F4" w14:textId="77777777" w:rsidTr="00084DCD">
        <w:trPr>
          <w:trHeight w:val="515"/>
        </w:trPr>
        <w:tc>
          <w:tcPr>
            <w:tcW w:w="589" w:type="dxa"/>
            <w:vMerge/>
          </w:tcPr>
          <w:p w14:paraId="204DEAC4" w14:textId="77777777" w:rsidR="008E760F" w:rsidRPr="003A0720" w:rsidRDefault="008E760F" w:rsidP="008E760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68341E32" w14:textId="77777777" w:rsidR="008E760F" w:rsidRPr="003A0720" w:rsidRDefault="008E760F" w:rsidP="008E760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27743F6" w14:textId="79DC9909" w:rsidR="008E760F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Melepurra, K., Kaul, A., Devi, S.G. and Gali, S., 2023. Esthetic solutions with layered zirconia prostheses: A case series. Journal of Datta Meghe Institute of Medical Sciences University, 18(1), p.110.</w:t>
            </w:r>
          </w:p>
        </w:tc>
        <w:tc>
          <w:tcPr>
            <w:tcW w:w="1003" w:type="dxa"/>
          </w:tcPr>
          <w:p w14:paraId="247703CB" w14:textId="149EB4B1" w:rsidR="008E760F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04D94AE8" w14:textId="6ED55491" w:rsidR="008E760F" w:rsidRPr="003A0720" w:rsidRDefault="00753D62" w:rsidP="0071464E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1F1B56B0" w14:textId="4AFFDCB2" w:rsidR="008E760F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76D95E73" w14:textId="6AD6C0C1" w:rsidR="008E760F" w:rsidRPr="003A0720" w:rsidRDefault="00F766A7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0C094AAE" w14:textId="1EE18C21" w:rsidR="008E760F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5B82B413" w14:textId="44C940D4" w:rsidR="008E760F" w:rsidRPr="003A0720" w:rsidRDefault="003A0720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753D62" w:rsidRPr="003A0720" w14:paraId="6871275C" w14:textId="77777777" w:rsidTr="00084DCD">
        <w:trPr>
          <w:trHeight w:val="515"/>
        </w:trPr>
        <w:tc>
          <w:tcPr>
            <w:tcW w:w="589" w:type="dxa"/>
          </w:tcPr>
          <w:p w14:paraId="416A631E" w14:textId="77777777" w:rsidR="00753D62" w:rsidRPr="003A0720" w:rsidRDefault="00753D62" w:rsidP="008E760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29693D9B" w14:textId="77777777" w:rsidR="00753D62" w:rsidRPr="003A0720" w:rsidRDefault="00753D62" w:rsidP="008E760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4B7D69E" w14:textId="219E343C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Mishra, D., Neethu, R.S., Shetty, V., Shenoy, S.J., </w:t>
            </w:r>
            <w:proofErr w:type="spellStart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Komath</w:t>
            </w:r>
            <w:proofErr w:type="spellEnd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M., Varma, H., </w:t>
            </w:r>
            <w:proofErr w:type="spellStart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Sabareeswaran</w:t>
            </w:r>
            <w:proofErr w:type="spellEnd"/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, A. and Basu, B., 2023. Contact Guidance Mediated by</w:t>
            </w:r>
          </w:p>
          <w:p w14:paraId="7BB16468" w14:textId="77777777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Hybrid Thread Topography Enhances</w:t>
            </w:r>
          </w:p>
          <w:p w14:paraId="456D36A1" w14:textId="1CAFE982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Osseointegration of As-machined Ti6Al4V Dental Implant. Regenerative Engineering and Translational Medicine, pp.1-16.</w:t>
            </w:r>
          </w:p>
        </w:tc>
        <w:tc>
          <w:tcPr>
            <w:tcW w:w="1003" w:type="dxa"/>
          </w:tcPr>
          <w:p w14:paraId="09D597BB" w14:textId="7D7B3C42" w:rsidR="00753D62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622AA138" w14:textId="20C80B4D" w:rsidR="00753D62" w:rsidRPr="003A0720" w:rsidRDefault="00753D62" w:rsidP="0071464E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1877DBB4" w14:textId="09FC8833" w:rsidR="00753D62" w:rsidRPr="003A0720" w:rsidRDefault="007D6D8B" w:rsidP="008E760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4934539E" w14:textId="113221F8" w:rsidR="00753D62" w:rsidRPr="003A0720" w:rsidRDefault="00753D62" w:rsidP="008E760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7778BC52" w14:textId="5381A4E2" w:rsidR="00753D62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DDD9384" w14:textId="0D71AFE6" w:rsidR="00753D62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753D62" w:rsidRPr="003A0720" w14:paraId="7F083273" w14:textId="77777777" w:rsidTr="00084DCD">
        <w:trPr>
          <w:trHeight w:val="515"/>
        </w:trPr>
        <w:tc>
          <w:tcPr>
            <w:tcW w:w="589" w:type="dxa"/>
          </w:tcPr>
          <w:p w14:paraId="463B609B" w14:textId="77777777" w:rsidR="00753D62" w:rsidRPr="003A0720" w:rsidRDefault="00753D62" w:rsidP="008E760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6EF5EC5A" w14:textId="03C5C1D4" w:rsidR="00753D62" w:rsidRPr="003A0720" w:rsidRDefault="00753D62" w:rsidP="008E760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B7934ED" w14:textId="161F08ED" w:rsidR="00F766A7" w:rsidRPr="003A0720" w:rsidRDefault="00FA05CD" w:rsidP="00753D62">
            <w:pPr>
              <w:spacing w:after="0" w:line="240" w:lineRule="auto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Boomiraj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R., Jain, R.N.,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Roshini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R.V., SK, G.D., Krishna, R. and Alva, B.S., 2023. Novel Custom-made Heat Cure Acrylic Stent for Vaginal Agenesis: A Case Report.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Scientific Research in Dental and Medical Sciences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pp.107-110.</w:t>
            </w:r>
          </w:p>
        </w:tc>
        <w:tc>
          <w:tcPr>
            <w:tcW w:w="1003" w:type="dxa"/>
          </w:tcPr>
          <w:p w14:paraId="23F0483C" w14:textId="3296D29F" w:rsidR="00753D62" w:rsidRPr="003A0720" w:rsidRDefault="00753D62" w:rsidP="008E760F">
            <w:pPr>
              <w:rPr>
                <w:rFonts w:cstheme="minorHAnsi"/>
                <w:color w:val="000000" w:themeColor="text1"/>
              </w:rPr>
            </w:pPr>
            <w:r w:rsidRPr="003A0720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1781" w:type="dxa"/>
          </w:tcPr>
          <w:p w14:paraId="540FDB12" w14:textId="2671B973" w:rsidR="00753D62" w:rsidRPr="003A0720" w:rsidRDefault="00753D62" w:rsidP="0071464E">
            <w:pPr>
              <w:jc w:val="center"/>
              <w:rPr>
                <w:rFonts w:cstheme="minorHAnsi"/>
                <w:color w:val="000000" w:themeColor="text1"/>
              </w:rPr>
            </w:pPr>
            <w:r w:rsidRPr="003A0720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783" w:type="dxa"/>
          </w:tcPr>
          <w:p w14:paraId="7F5420FF" w14:textId="15D63AAE" w:rsidR="00753D62" w:rsidRPr="003A0720" w:rsidRDefault="00753D62" w:rsidP="008E760F">
            <w:pPr>
              <w:rPr>
                <w:rFonts w:cstheme="minorHAnsi"/>
                <w:color w:val="000000" w:themeColor="text1"/>
              </w:rPr>
            </w:pPr>
            <w:r w:rsidRPr="003A0720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890" w:type="dxa"/>
          </w:tcPr>
          <w:p w14:paraId="5982C036" w14:textId="19F6D28D" w:rsidR="00753D62" w:rsidRPr="003A0720" w:rsidRDefault="00F766A7" w:rsidP="008E760F">
            <w:pPr>
              <w:rPr>
                <w:rFonts w:cstheme="minorHAnsi"/>
                <w:color w:val="000000" w:themeColor="text1"/>
              </w:rPr>
            </w:pPr>
            <w:r w:rsidRPr="003A0720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954" w:type="dxa"/>
          </w:tcPr>
          <w:p w14:paraId="0814AEEA" w14:textId="0049D81B" w:rsidR="00753D62" w:rsidRPr="003A0720" w:rsidRDefault="00F766A7" w:rsidP="008E760F">
            <w:pPr>
              <w:rPr>
                <w:rFonts w:cstheme="minorHAnsi"/>
                <w:color w:val="000000" w:themeColor="text1"/>
              </w:rPr>
            </w:pPr>
            <w:r w:rsidRPr="003A0720">
              <w:rPr>
                <w:rFonts w:cstheme="minorHAnsi"/>
                <w:color w:val="000000" w:themeColor="text1"/>
              </w:rPr>
              <w:t>Yes</w:t>
            </w:r>
          </w:p>
        </w:tc>
        <w:tc>
          <w:tcPr>
            <w:tcW w:w="3018" w:type="dxa"/>
          </w:tcPr>
          <w:p w14:paraId="1C86EB93" w14:textId="2EA055B6" w:rsidR="00753D62" w:rsidRPr="003A0720" w:rsidRDefault="00753D62" w:rsidP="008E760F">
            <w:pPr>
              <w:rPr>
                <w:rFonts w:cstheme="minorHAnsi"/>
                <w:color w:val="000000" w:themeColor="text1"/>
              </w:rPr>
            </w:pPr>
            <w:r w:rsidRPr="003A0720">
              <w:rPr>
                <w:rFonts w:cstheme="minorHAnsi"/>
                <w:color w:val="000000" w:themeColor="text1"/>
              </w:rPr>
              <w:t>Faculty with PG</w:t>
            </w:r>
          </w:p>
        </w:tc>
      </w:tr>
      <w:tr w:rsidR="00FC4D01" w:rsidRPr="003A0720" w14:paraId="705CA485" w14:textId="77777777" w:rsidTr="00084DCD">
        <w:trPr>
          <w:trHeight w:val="515"/>
        </w:trPr>
        <w:tc>
          <w:tcPr>
            <w:tcW w:w="589" w:type="dxa"/>
          </w:tcPr>
          <w:p w14:paraId="3CD6A576" w14:textId="77777777" w:rsidR="00FC4D01" w:rsidRPr="003A0720" w:rsidRDefault="00FC4D01" w:rsidP="008E760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11968420" w14:textId="77777777" w:rsidR="00FC4D01" w:rsidRPr="003A0720" w:rsidRDefault="00FC4D01" w:rsidP="008E760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6577473" w14:textId="6B883243" w:rsidR="00FC4D01" w:rsidRPr="003A0720" w:rsidRDefault="00FC4D01" w:rsidP="00753D6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Gali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Gururaja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S., Prabhu, T.N. and Srinivasan, S., 2023. Investigation of Spark Plasma Sintering on Microstructure-Properties of Zirconia Reinforced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Fluormica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Glass for Dental Restorations.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Materials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16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(18), p.6125.</w:t>
            </w:r>
          </w:p>
        </w:tc>
        <w:tc>
          <w:tcPr>
            <w:tcW w:w="1003" w:type="dxa"/>
          </w:tcPr>
          <w:p w14:paraId="741B3BC9" w14:textId="13CF5BE9" w:rsidR="00FC4D01" w:rsidRPr="003A0720" w:rsidRDefault="00FC4D01" w:rsidP="008E760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Yes</w:t>
            </w:r>
          </w:p>
        </w:tc>
        <w:tc>
          <w:tcPr>
            <w:tcW w:w="1781" w:type="dxa"/>
          </w:tcPr>
          <w:p w14:paraId="53D19052" w14:textId="33A94C94" w:rsidR="00FC4D01" w:rsidRPr="003A0720" w:rsidRDefault="00C50F63" w:rsidP="0071464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Scopus</w:t>
            </w:r>
            <w:r w:rsidR="001C4C3A">
              <w:rPr>
                <w:rFonts w:cstheme="minorHAnsi"/>
                <w:color w:val="000000" w:themeColor="text1"/>
              </w:rPr>
              <w:t xml:space="preserve"> Q2</w:t>
            </w:r>
          </w:p>
        </w:tc>
        <w:tc>
          <w:tcPr>
            <w:tcW w:w="783" w:type="dxa"/>
          </w:tcPr>
          <w:p w14:paraId="299A6ED6" w14:textId="24473C16" w:rsidR="00FC4D01" w:rsidRPr="003A0720" w:rsidRDefault="00FC4D01" w:rsidP="008E760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Yes</w:t>
            </w:r>
          </w:p>
        </w:tc>
        <w:tc>
          <w:tcPr>
            <w:tcW w:w="890" w:type="dxa"/>
          </w:tcPr>
          <w:p w14:paraId="249AC170" w14:textId="168A2788" w:rsidR="00FC4D01" w:rsidRPr="003A0720" w:rsidRDefault="00FC4D01" w:rsidP="008E760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954" w:type="dxa"/>
          </w:tcPr>
          <w:p w14:paraId="5FFBBA48" w14:textId="3B69EA50" w:rsidR="00FC4D01" w:rsidRPr="003A0720" w:rsidRDefault="00FC4D01" w:rsidP="008E760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3.748</w:t>
            </w:r>
          </w:p>
        </w:tc>
        <w:tc>
          <w:tcPr>
            <w:tcW w:w="3018" w:type="dxa"/>
          </w:tcPr>
          <w:p w14:paraId="572638C4" w14:textId="2EF4EEE9" w:rsidR="00FC4D01" w:rsidRPr="003A0720" w:rsidRDefault="00FC4D01" w:rsidP="008E760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Faculty with PG</w:t>
            </w:r>
          </w:p>
        </w:tc>
      </w:tr>
      <w:tr w:rsidR="00FC4D01" w:rsidRPr="003A0720" w14:paraId="3E17282B" w14:textId="77777777" w:rsidTr="00084DCD">
        <w:trPr>
          <w:trHeight w:val="515"/>
        </w:trPr>
        <w:tc>
          <w:tcPr>
            <w:tcW w:w="589" w:type="dxa"/>
          </w:tcPr>
          <w:p w14:paraId="620D3EB4" w14:textId="77777777" w:rsidR="00FC4D01" w:rsidRPr="003A0720" w:rsidRDefault="00FC4D01" w:rsidP="008E760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312B6CA3" w14:textId="77777777" w:rsidR="00FC4D01" w:rsidRPr="003A0720" w:rsidRDefault="00FC4D01" w:rsidP="008E760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9F37C9C" w14:textId="0C5D8177" w:rsidR="00FC4D01" w:rsidRDefault="00FC4D01" w:rsidP="00753D6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Shetty, V., Mishra, D., N, R.,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Barui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Basu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B., 2023. Preclinical study probing primary stability of dental implants in synthetic and natural bones.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International Journal of Applied Ceramic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lastRenderedPageBreak/>
              <w:t>Technology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pp.842-855.</w:t>
            </w:r>
          </w:p>
        </w:tc>
        <w:tc>
          <w:tcPr>
            <w:tcW w:w="1003" w:type="dxa"/>
          </w:tcPr>
          <w:p w14:paraId="3D004CE1" w14:textId="33200C0A" w:rsidR="00FC4D01" w:rsidRDefault="00FC4D01" w:rsidP="008E760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No</w:t>
            </w:r>
          </w:p>
        </w:tc>
        <w:tc>
          <w:tcPr>
            <w:tcW w:w="1781" w:type="dxa"/>
          </w:tcPr>
          <w:p w14:paraId="4F923645" w14:textId="41583643" w:rsidR="00FC4D01" w:rsidRDefault="00FC4D01" w:rsidP="0071464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SCOPUS Q2</w:t>
            </w:r>
          </w:p>
        </w:tc>
        <w:tc>
          <w:tcPr>
            <w:tcW w:w="783" w:type="dxa"/>
          </w:tcPr>
          <w:p w14:paraId="3738C970" w14:textId="42D83DA6" w:rsidR="00FC4D01" w:rsidRDefault="00FC4D01" w:rsidP="008E760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Yes</w:t>
            </w:r>
          </w:p>
        </w:tc>
        <w:tc>
          <w:tcPr>
            <w:tcW w:w="890" w:type="dxa"/>
          </w:tcPr>
          <w:p w14:paraId="18949566" w14:textId="244D7912" w:rsidR="00FC4D01" w:rsidRDefault="00CC16FF" w:rsidP="008E760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No </w:t>
            </w:r>
          </w:p>
        </w:tc>
        <w:tc>
          <w:tcPr>
            <w:tcW w:w="954" w:type="dxa"/>
          </w:tcPr>
          <w:p w14:paraId="17341704" w14:textId="6CC02E3A" w:rsidR="00FC4D01" w:rsidRDefault="00CC16FF" w:rsidP="008E760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2.328</w:t>
            </w:r>
          </w:p>
        </w:tc>
        <w:tc>
          <w:tcPr>
            <w:tcW w:w="3018" w:type="dxa"/>
          </w:tcPr>
          <w:p w14:paraId="4463A754" w14:textId="7A9E4162" w:rsidR="00FC4D01" w:rsidRDefault="00CC16FF" w:rsidP="008E760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Faculty with PG</w:t>
            </w:r>
          </w:p>
        </w:tc>
      </w:tr>
      <w:tr w:rsidR="008E760F" w:rsidRPr="003A0720" w14:paraId="70CF29F5" w14:textId="77777777" w:rsidTr="00084DCD">
        <w:trPr>
          <w:trHeight w:val="515"/>
        </w:trPr>
        <w:tc>
          <w:tcPr>
            <w:tcW w:w="589" w:type="dxa"/>
            <w:vMerge w:val="restart"/>
          </w:tcPr>
          <w:p w14:paraId="62D8DA31" w14:textId="53DD6298" w:rsidR="008E760F" w:rsidRPr="003A0720" w:rsidRDefault="008E760F" w:rsidP="008E760F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4</w:t>
            </w:r>
          </w:p>
        </w:tc>
        <w:tc>
          <w:tcPr>
            <w:tcW w:w="2011" w:type="dxa"/>
            <w:vMerge w:val="restart"/>
          </w:tcPr>
          <w:p w14:paraId="34377420" w14:textId="1EDAD7F8" w:rsidR="008E760F" w:rsidRPr="003A0720" w:rsidRDefault="008E760F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CONS</w:t>
            </w:r>
          </w:p>
        </w:tc>
        <w:tc>
          <w:tcPr>
            <w:tcW w:w="4231" w:type="dxa"/>
          </w:tcPr>
          <w:p w14:paraId="4E727D95" w14:textId="77777777" w:rsidR="00753D62" w:rsidRPr="003A0720" w:rsidRDefault="00753D62" w:rsidP="00753D62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>Jain, N., Nagaraja, S., Mathew, S., Jethani, B., Kumari, M., Nambiar, S., and Sasank, S.,</w:t>
            </w:r>
          </w:p>
          <w:p w14:paraId="4E6EBFCC" w14:textId="623ECA1C" w:rsidR="00BB1959" w:rsidRPr="003A0720" w:rsidRDefault="00753D62" w:rsidP="00753D62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>Evaluation of the surface characteristics of nickel–titanium rotary instruments after clinical use: An atomic force microscope study. Endodontology. 35(1):65-71, Jan-Mar 2023</w:t>
            </w:r>
          </w:p>
        </w:tc>
        <w:tc>
          <w:tcPr>
            <w:tcW w:w="1003" w:type="dxa"/>
          </w:tcPr>
          <w:p w14:paraId="09C0DC97" w14:textId="7793CDBC" w:rsidR="008E760F" w:rsidRPr="003A0720" w:rsidRDefault="0086515A" w:rsidP="008E760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46DB3A69" w14:textId="32091129" w:rsidR="008E760F" w:rsidRPr="003A0720" w:rsidRDefault="00C50F63" w:rsidP="00753D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7D6D8B"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635CB8C4" w14:textId="0B2CE3CD" w:rsidR="008E760F" w:rsidRPr="003A0720" w:rsidRDefault="0086515A" w:rsidP="008E760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7729233F" w14:textId="77777777" w:rsidR="008E760F" w:rsidRPr="003A0720" w:rsidRDefault="008E760F" w:rsidP="008E760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003A253F" w14:textId="72DEFE1B" w:rsidR="008E760F" w:rsidRPr="003A0720" w:rsidRDefault="008E760F" w:rsidP="008E760F">
            <w:pPr>
              <w:rPr>
                <w:rFonts w:cstheme="minorHAnsi"/>
              </w:rPr>
            </w:pPr>
          </w:p>
        </w:tc>
        <w:tc>
          <w:tcPr>
            <w:tcW w:w="3018" w:type="dxa"/>
          </w:tcPr>
          <w:p w14:paraId="51B39104" w14:textId="73C7F189" w:rsidR="008E760F" w:rsidRPr="003A0720" w:rsidRDefault="003A0720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86515A" w:rsidRPr="003A0720" w14:paraId="14C7FFDE" w14:textId="77777777" w:rsidTr="00084DCD">
        <w:trPr>
          <w:trHeight w:val="515"/>
        </w:trPr>
        <w:tc>
          <w:tcPr>
            <w:tcW w:w="589" w:type="dxa"/>
            <w:vMerge/>
          </w:tcPr>
          <w:p w14:paraId="0B6077F2" w14:textId="77777777" w:rsidR="0086515A" w:rsidRPr="003A0720" w:rsidRDefault="0086515A" w:rsidP="0086515A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EE636AA" w14:textId="77777777" w:rsidR="0086515A" w:rsidRPr="003A0720" w:rsidRDefault="0086515A" w:rsidP="0086515A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5F74D5C" w14:textId="77777777" w:rsidR="0086515A" w:rsidRPr="003A0720" w:rsidRDefault="0086515A" w:rsidP="0086515A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>Ghosh, S., Rajatha, S., Mathew, S., Nagaraja, S., Clinical management of large perforating</w:t>
            </w:r>
          </w:p>
          <w:p w14:paraId="30CBD0A1" w14:textId="1B5A583C" w:rsidR="0086515A" w:rsidRPr="003A0720" w:rsidRDefault="0086515A" w:rsidP="0086515A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>internal root resorption with collagen and mineral trioxide aggregate: Two case reports. Endodontology. 35(1):65-71, Jan-Mar 2023</w:t>
            </w:r>
          </w:p>
        </w:tc>
        <w:tc>
          <w:tcPr>
            <w:tcW w:w="1003" w:type="dxa"/>
          </w:tcPr>
          <w:p w14:paraId="160F8529" w14:textId="03A459B6" w:rsidR="0086515A" w:rsidRPr="003A0720" w:rsidRDefault="0086515A" w:rsidP="0086515A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6C74331C" w14:textId="531250D7" w:rsidR="0086515A" w:rsidRPr="003A0720" w:rsidRDefault="0086515A" w:rsidP="0086515A">
            <w:pPr>
              <w:rPr>
                <w:rFonts w:cstheme="minorHAnsi"/>
              </w:rPr>
            </w:pPr>
            <w:r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40D9A25F" w14:textId="00B42B04" w:rsidR="0086515A" w:rsidRPr="003A0720" w:rsidRDefault="0086515A" w:rsidP="0086515A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7836F13F" w14:textId="77777777" w:rsidR="0086515A" w:rsidRPr="003A0720" w:rsidRDefault="0086515A" w:rsidP="0086515A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6ED1FCD0" w14:textId="4E4E253B" w:rsidR="0086515A" w:rsidRPr="003A0720" w:rsidRDefault="0086515A" w:rsidP="0086515A">
            <w:pPr>
              <w:rPr>
                <w:rFonts w:cstheme="minorHAnsi"/>
              </w:rPr>
            </w:pPr>
          </w:p>
        </w:tc>
        <w:tc>
          <w:tcPr>
            <w:tcW w:w="3018" w:type="dxa"/>
          </w:tcPr>
          <w:p w14:paraId="08DCAC3B" w14:textId="7129A9F0" w:rsidR="0086515A" w:rsidRPr="003A0720" w:rsidRDefault="0086515A" w:rsidP="0086515A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8E760F" w:rsidRPr="003A0720" w14:paraId="62ABCB3C" w14:textId="77777777" w:rsidTr="00084DCD">
        <w:trPr>
          <w:trHeight w:val="515"/>
        </w:trPr>
        <w:tc>
          <w:tcPr>
            <w:tcW w:w="589" w:type="dxa"/>
            <w:vMerge/>
          </w:tcPr>
          <w:p w14:paraId="58174E56" w14:textId="77777777" w:rsidR="008E760F" w:rsidRPr="003A0720" w:rsidRDefault="008E760F" w:rsidP="008E760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12512DC" w14:textId="77777777" w:rsidR="008E760F" w:rsidRPr="003A0720" w:rsidRDefault="008E760F" w:rsidP="008E760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6513EB0" w14:textId="6AA3B569" w:rsidR="00BB1959" w:rsidRPr="003A0720" w:rsidRDefault="001B2161" w:rsidP="00753D62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Khatri, S., Mathew, S., Nagaraja, S., Hegde, S., Ghosh, S. and Ravichandran, K., 2023. Comparative evaluation of pH and Ca+ ion release from MTA on interaction with platelet-rich fibrin and blood clot: an in vitro study. </w:t>
            </w:r>
            <w:r w:rsidRPr="003A0720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F1000Research</w:t>
            </w:r>
            <w:r w:rsidRPr="003A072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3A0720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Pr="003A072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(364), p.364.</w:t>
            </w:r>
          </w:p>
        </w:tc>
        <w:tc>
          <w:tcPr>
            <w:tcW w:w="1003" w:type="dxa"/>
          </w:tcPr>
          <w:p w14:paraId="05DECBB2" w14:textId="73D06C9E" w:rsidR="008E760F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4F391267" w14:textId="0C7F2379" w:rsidR="008E760F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Scopus</w:t>
            </w:r>
            <w:r w:rsidR="001B2161" w:rsidRPr="003A0720">
              <w:rPr>
                <w:rFonts w:cstheme="minorHAnsi"/>
              </w:rPr>
              <w:t xml:space="preserve"> Q1</w:t>
            </w:r>
          </w:p>
        </w:tc>
        <w:tc>
          <w:tcPr>
            <w:tcW w:w="783" w:type="dxa"/>
          </w:tcPr>
          <w:p w14:paraId="5B83CFBC" w14:textId="61324F41" w:rsidR="008E760F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6AC542B9" w14:textId="46407BF7" w:rsidR="008E760F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0.9</w:t>
            </w:r>
          </w:p>
        </w:tc>
        <w:tc>
          <w:tcPr>
            <w:tcW w:w="954" w:type="dxa"/>
          </w:tcPr>
          <w:p w14:paraId="2C9DB4D6" w14:textId="6E0FD118" w:rsidR="008E760F" w:rsidRPr="003A0720" w:rsidRDefault="00753D62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392F325C" w14:textId="1AB1881C" w:rsidR="008E760F" w:rsidRPr="003A0720" w:rsidRDefault="003A0720" w:rsidP="008E760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753D62" w:rsidRPr="003A0720" w14:paraId="2C3C65AC" w14:textId="77777777" w:rsidTr="00084DCD">
        <w:trPr>
          <w:trHeight w:val="515"/>
        </w:trPr>
        <w:tc>
          <w:tcPr>
            <w:tcW w:w="589" w:type="dxa"/>
          </w:tcPr>
          <w:p w14:paraId="44DCD578" w14:textId="552DA516" w:rsidR="00753D62" w:rsidRPr="003A0720" w:rsidRDefault="00753D62" w:rsidP="00753D62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 </w:t>
            </w:r>
          </w:p>
        </w:tc>
        <w:tc>
          <w:tcPr>
            <w:tcW w:w="2011" w:type="dxa"/>
            <w:vMerge/>
          </w:tcPr>
          <w:p w14:paraId="66F63528" w14:textId="77777777" w:rsidR="00753D62" w:rsidRPr="003A0720" w:rsidRDefault="00753D62" w:rsidP="00753D6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0E623433" w14:textId="22129EB0" w:rsidR="00753D62" w:rsidRPr="003A0720" w:rsidRDefault="00753D62" w:rsidP="00753D62">
            <w:pPr>
              <w:spacing w:after="0" w:line="240" w:lineRule="auto"/>
              <w:rPr>
                <w:rFonts w:cstheme="minorHAnsi"/>
              </w:rPr>
            </w:pPr>
            <w:r w:rsidRPr="003A0720">
              <w:rPr>
                <w:rFonts w:cstheme="minorHAnsi"/>
              </w:rPr>
              <w:t>Kedia, S., Narayana, I., Shetty, R.V., Shukla, E. and Kalasaiah, D., 2023. Stress Distribution in Teeth Restored with Different Posts Using Single or Multi-post Technique: A Three-dimensional Finite Element Analysis. Conservative Dentistry and Endodontic Journal, 7(1), pp.1-6.</w:t>
            </w:r>
          </w:p>
        </w:tc>
        <w:tc>
          <w:tcPr>
            <w:tcW w:w="1003" w:type="dxa"/>
          </w:tcPr>
          <w:p w14:paraId="687934E2" w14:textId="69FBC908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0CEEB053" w14:textId="1BBEDD66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3BEF1B0C" w14:textId="32563175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5EED6C5B" w14:textId="2BC5F475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5562C675" w14:textId="09EC68C6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496469D1" w14:textId="008B1C0C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 </w:t>
            </w:r>
            <w:r w:rsidR="003A0720" w:rsidRPr="003A0720">
              <w:rPr>
                <w:rFonts w:cstheme="minorHAnsi"/>
              </w:rPr>
              <w:t xml:space="preserve"> All faculty</w:t>
            </w:r>
          </w:p>
        </w:tc>
      </w:tr>
      <w:tr w:rsidR="00CC16FF" w:rsidRPr="003A0720" w14:paraId="248E42AC" w14:textId="77777777" w:rsidTr="00084DCD">
        <w:trPr>
          <w:trHeight w:val="515"/>
        </w:trPr>
        <w:tc>
          <w:tcPr>
            <w:tcW w:w="589" w:type="dxa"/>
          </w:tcPr>
          <w:p w14:paraId="69CB097B" w14:textId="77777777" w:rsidR="00CC16FF" w:rsidRPr="003A0720" w:rsidRDefault="00CC16FF" w:rsidP="00753D6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2D37AA39" w14:textId="77777777" w:rsidR="00CC16FF" w:rsidRPr="003A0720" w:rsidRDefault="00CC16FF" w:rsidP="00753D6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B8A0DD2" w14:textId="2A912755" w:rsidR="00CC16FF" w:rsidRPr="003A0720" w:rsidRDefault="00CC16FF" w:rsidP="00753D62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Sricharan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S., Hegde, S., Narayana, I.H., Mohan, C. and Shetty, N.K., 2023. Effect of Bleaching on the Microhardness and Modulus of Elasticity of ACTIVA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BioACTIVE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–RESTORATIVE: An In Vitro Study.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Advanced Oral Research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p.23202068231199543.</w:t>
            </w:r>
          </w:p>
        </w:tc>
        <w:tc>
          <w:tcPr>
            <w:tcW w:w="1003" w:type="dxa"/>
          </w:tcPr>
          <w:p w14:paraId="0A410536" w14:textId="7516F2CF" w:rsidR="00CC16FF" w:rsidRPr="003A0720" w:rsidRDefault="00CC16FF" w:rsidP="00753D6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7B71ACE0" w14:textId="150F950E" w:rsidR="00CC16FF" w:rsidRPr="003A0720" w:rsidRDefault="00CC16FF" w:rsidP="00753D6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5301F96C" w14:textId="5001EBF7" w:rsidR="00CC16FF" w:rsidRPr="003A0720" w:rsidRDefault="00CC16FF" w:rsidP="00753D6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0DCA7B61" w14:textId="1475B360" w:rsidR="00CC16FF" w:rsidRPr="003A0720" w:rsidRDefault="0086515A" w:rsidP="00753D62">
            <w:pPr>
              <w:rPr>
                <w:rFonts w:cstheme="minorHAnsi"/>
              </w:rPr>
            </w:pPr>
            <w:r>
              <w:rPr>
                <w:rFonts w:cstheme="minorHAnsi"/>
              </w:rPr>
              <w:t>0.145</w:t>
            </w:r>
          </w:p>
        </w:tc>
        <w:tc>
          <w:tcPr>
            <w:tcW w:w="954" w:type="dxa"/>
          </w:tcPr>
          <w:p w14:paraId="2BEBF53B" w14:textId="7175CA72" w:rsidR="00CC16FF" w:rsidRPr="003A0720" w:rsidRDefault="0086515A" w:rsidP="00753D6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162BACBB" w14:textId="61151796" w:rsidR="00CC16FF" w:rsidRPr="003A0720" w:rsidRDefault="00CC16FF" w:rsidP="00753D62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 with PG</w:t>
            </w:r>
          </w:p>
        </w:tc>
      </w:tr>
      <w:tr w:rsidR="00753D62" w:rsidRPr="003A0720" w14:paraId="257F2B42" w14:textId="77777777" w:rsidTr="003A03D1">
        <w:trPr>
          <w:trHeight w:val="373"/>
        </w:trPr>
        <w:tc>
          <w:tcPr>
            <w:tcW w:w="589" w:type="dxa"/>
          </w:tcPr>
          <w:p w14:paraId="1540F148" w14:textId="77777777" w:rsidR="00753D62" w:rsidRPr="003A0720" w:rsidRDefault="00753D62" w:rsidP="00753D6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777511BF" w14:textId="77777777" w:rsidR="00753D62" w:rsidRPr="003A0720" w:rsidRDefault="00753D62" w:rsidP="00753D6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136CE3C" w14:textId="50FE3550" w:rsidR="00791573" w:rsidRPr="003A0720" w:rsidRDefault="00FC26BA" w:rsidP="00753D62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Kini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Shubhashini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N., Bharathi, M., Shetty, N., Santosh, A.P. and Rao, L.N.2023, In-vitro evaluation of the antimicrobial activity of calcium hydroxide combined with chlorhexidine, ozonated water and double antibiotic paste used as an intracanal medicament.</w:t>
            </w:r>
            <w:r w:rsidR="00FA05CD">
              <w:t xml:space="preserve"> </w:t>
            </w:r>
            <w:r w:rsidR="00FA05CD" w:rsidRPr="00FA05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Eur. Chem. Bull.12 (Si6),</w:t>
            </w:r>
            <w:r w:rsidR="00FA05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A05CD" w:rsidRPr="00FA05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3242 – 3249</w:t>
            </w:r>
          </w:p>
        </w:tc>
        <w:tc>
          <w:tcPr>
            <w:tcW w:w="1003" w:type="dxa"/>
          </w:tcPr>
          <w:p w14:paraId="0E92CBC3" w14:textId="41134B2C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309FA3E6" w14:textId="59E7B7E4" w:rsidR="00753D62" w:rsidRPr="003A0720" w:rsidRDefault="00753D62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775F80E6" w14:textId="0DAE15FF" w:rsidR="00753D62" w:rsidRPr="003A0720" w:rsidRDefault="00FC26BA" w:rsidP="00753D6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25E0E94C" w14:textId="0FF261B0" w:rsidR="00753D62" w:rsidRPr="003A0720" w:rsidRDefault="0086515A" w:rsidP="00753D62">
            <w:pPr>
              <w:rPr>
                <w:rFonts w:cstheme="minorHAnsi"/>
              </w:rPr>
            </w:pPr>
            <w:r>
              <w:rPr>
                <w:rFonts w:cstheme="minorHAnsi"/>
              </w:rPr>
              <w:t>0.247</w:t>
            </w:r>
          </w:p>
        </w:tc>
        <w:tc>
          <w:tcPr>
            <w:tcW w:w="954" w:type="dxa"/>
          </w:tcPr>
          <w:p w14:paraId="4062D81C" w14:textId="19F7D099" w:rsidR="00753D62" w:rsidRPr="003A0720" w:rsidRDefault="0086515A" w:rsidP="00753D6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2B09794C" w14:textId="3BA6BDD7" w:rsidR="00753D62" w:rsidRPr="003A0720" w:rsidRDefault="003A0720" w:rsidP="00753D62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1D23A1" w:rsidRPr="003A0720" w14:paraId="5DE5335F" w14:textId="77777777" w:rsidTr="00084DCD">
        <w:trPr>
          <w:trHeight w:val="515"/>
        </w:trPr>
        <w:tc>
          <w:tcPr>
            <w:tcW w:w="589" w:type="dxa"/>
          </w:tcPr>
          <w:p w14:paraId="7A5EC699" w14:textId="77777777" w:rsidR="001D23A1" w:rsidRPr="003A0720" w:rsidRDefault="001D23A1" w:rsidP="001D23A1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20F5E4DA" w14:textId="7A204C61" w:rsidR="001D23A1" w:rsidRPr="003A0720" w:rsidRDefault="00060AD7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>ORTHO</w:t>
            </w:r>
          </w:p>
        </w:tc>
        <w:tc>
          <w:tcPr>
            <w:tcW w:w="4231" w:type="dxa"/>
          </w:tcPr>
          <w:p w14:paraId="1459500C" w14:textId="497B4A7D" w:rsidR="001D23A1" w:rsidRPr="003A0720" w:rsidRDefault="001D23A1" w:rsidP="001D23A1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0F2553">
              <w:rPr>
                <w:rFonts w:cstheme="minorHAnsi"/>
              </w:rPr>
              <w:t xml:space="preserve">Ashfaq, S., Mathew, S., </w:t>
            </w:r>
            <w:proofErr w:type="spellStart"/>
            <w:r w:rsidRPr="000F2553">
              <w:rPr>
                <w:rFonts w:cstheme="minorHAnsi"/>
              </w:rPr>
              <w:t>Prashantha</w:t>
            </w:r>
            <w:proofErr w:type="spellEnd"/>
            <w:r w:rsidRPr="000F2553">
              <w:rPr>
                <w:rFonts w:cstheme="minorHAnsi"/>
              </w:rPr>
              <w:t xml:space="preserve">, G.S., </w:t>
            </w:r>
            <w:proofErr w:type="spellStart"/>
            <w:r w:rsidRPr="000F2553">
              <w:rPr>
                <w:rFonts w:cstheme="minorHAnsi"/>
              </w:rPr>
              <w:t>Sabrish</w:t>
            </w:r>
            <w:proofErr w:type="spellEnd"/>
            <w:r w:rsidRPr="000F2553">
              <w:rPr>
                <w:rFonts w:cstheme="minorHAnsi"/>
              </w:rPr>
              <w:t xml:space="preserve">, S., Krishnamurthy, S., </w:t>
            </w:r>
            <w:proofErr w:type="spellStart"/>
            <w:r w:rsidRPr="000F2553">
              <w:rPr>
                <w:rFonts w:cstheme="minorHAnsi"/>
              </w:rPr>
              <w:t>Bhaduri</w:t>
            </w:r>
            <w:proofErr w:type="spellEnd"/>
            <w:r w:rsidRPr="000F2553">
              <w:rPr>
                <w:rFonts w:cstheme="minorHAnsi"/>
              </w:rPr>
              <w:t xml:space="preserve">, N., 2023. Comparison of </w:t>
            </w:r>
            <w:proofErr w:type="spellStart"/>
            <w:r w:rsidRPr="000F2553">
              <w:rPr>
                <w:rFonts w:cstheme="minorHAnsi"/>
              </w:rPr>
              <w:t>infrazygomatic</w:t>
            </w:r>
            <w:proofErr w:type="spellEnd"/>
            <w:r w:rsidRPr="000F2553">
              <w:rPr>
                <w:rFonts w:cstheme="minorHAnsi"/>
              </w:rPr>
              <w:t xml:space="preserve"> crest bone screw position using a </w:t>
            </w:r>
            <w:proofErr w:type="spellStart"/>
            <w:r w:rsidRPr="000F2553">
              <w:rPr>
                <w:rFonts w:cstheme="minorHAnsi"/>
              </w:rPr>
              <w:t>postero</w:t>
            </w:r>
            <w:proofErr w:type="spellEnd"/>
            <w:r w:rsidRPr="000F2553">
              <w:rPr>
                <w:rFonts w:cstheme="minorHAnsi"/>
              </w:rPr>
              <w:t>-anterior cephalogram versus cone-beam computed tomography: a cross sectional study. Australasian Orthodontic Journal. 39. 64-70. 10.2478/aoj-2023-0023.</w:t>
            </w:r>
          </w:p>
        </w:tc>
        <w:tc>
          <w:tcPr>
            <w:tcW w:w="1003" w:type="dxa"/>
          </w:tcPr>
          <w:p w14:paraId="41608F76" w14:textId="19E56C9D" w:rsidR="001D23A1" w:rsidRPr="003A0720" w:rsidRDefault="001D23A1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</w:p>
        </w:tc>
        <w:tc>
          <w:tcPr>
            <w:tcW w:w="1781" w:type="dxa"/>
          </w:tcPr>
          <w:p w14:paraId="306C7710" w14:textId="1184764A" w:rsidR="001D23A1" w:rsidRPr="003A0720" w:rsidRDefault="001D23A1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4C206872" w14:textId="21BAB1A7" w:rsidR="001D23A1" w:rsidRPr="003A0720" w:rsidRDefault="001D23A1" w:rsidP="001D23A1">
            <w:pPr>
              <w:rPr>
                <w:rFonts w:cstheme="minorHAnsi"/>
              </w:rPr>
            </w:pPr>
            <w:r>
              <w:t>Yes</w:t>
            </w:r>
          </w:p>
        </w:tc>
        <w:tc>
          <w:tcPr>
            <w:tcW w:w="890" w:type="dxa"/>
          </w:tcPr>
          <w:p w14:paraId="1253A9C5" w14:textId="0AF9281F" w:rsidR="001D23A1" w:rsidRPr="003A0720" w:rsidRDefault="001D23A1" w:rsidP="001D23A1">
            <w:pPr>
              <w:rPr>
                <w:rFonts w:cstheme="minorHAnsi"/>
              </w:rPr>
            </w:pPr>
            <w:r>
              <w:t>0.26</w:t>
            </w:r>
          </w:p>
        </w:tc>
        <w:tc>
          <w:tcPr>
            <w:tcW w:w="954" w:type="dxa"/>
          </w:tcPr>
          <w:p w14:paraId="2EA4A191" w14:textId="726DF38C" w:rsidR="001D23A1" w:rsidRPr="003A0720" w:rsidRDefault="001D23A1" w:rsidP="001D23A1">
            <w:pPr>
              <w:rPr>
                <w:rFonts w:cstheme="minorHAnsi"/>
              </w:rPr>
            </w:pPr>
            <w:r>
              <w:t xml:space="preserve">No </w:t>
            </w:r>
          </w:p>
        </w:tc>
        <w:tc>
          <w:tcPr>
            <w:tcW w:w="3018" w:type="dxa"/>
          </w:tcPr>
          <w:p w14:paraId="7CD6F796" w14:textId="7F253E89" w:rsidR="001D23A1" w:rsidRPr="003A0720" w:rsidRDefault="001D23A1" w:rsidP="001D23A1">
            <w:pPr>
              <w:rPr>
                <w:rFonts w:cstheme="minorHAnsi"/>
              </w:rPr>
            </w:pPr>
            <w:r w:rsidRPr="009A51C4">
              <w:rPr>
                <w:b/>
                <w:bCs/>
              </w:rPr>
              <w:t>Faculty with PG</w:t>
            </w:r>
          </w:p>
        </w:tc>
      </w:tr>
      <w:tr w:rsidR="001D23A1" w:rsidRPr="003A0720" w14:paraId="3F4EBB37" w14:textId="77777777" w:rsidTr="00084DCD">
        <w:trPr>
          <w:trHeight w:val="515"/>
        </w:trPr>
        <w:tc>
          <w:tcPr>
            <w:tcW w:w="589" w:type="dxa"/>
          </w:tcPr>
          <w:p w14:paraId="701021E8" w14:textId="77777777" w:rsidR="001D23A1" w:rsidRPr="003A0720" w:rsidRDefault="001D23A1" w:rsidP="001D23A1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35F1AE3A" w14:textId="77777777" w:rsidR="001D23A1" w:rsidRPr="003A0720" w:rsidRDefault="001D23A1" w:rsidP="001D23A1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1BF5E19" w14:textId="77777777" w:rsidR="001D23A1" w:rsidRPr="000F2553" w:rsidRDefault="001D23A1" w:rsidP="001D23A1">
            <w:pPr>
              <w:autoSpaceDE w:val="0"/>
              <w:autoSpaceDN w:val="0"/>
              <w:adjustRightInd w:val="0"/>
              <w:spacing w:after="0"/>
              <w:rPr>
                <w:rFonts w:eastAsia="RotisSemiSerifStd" w:cstheme="minorHAnsi"/>
              </w:rPr>
            </w:pPr>
            <w:r w:rsidRPr="000F2553">
              <w:rPr>
                <w:rFonts w:eastAsia="RotisSemiSerifStd" w:cstheme="minorHAnsi"/>
              </w:rPr>
              <w:t xml:space="preserve">Gujar AN, </w:t>
            </w:r>
            <w:proofErr w:type="spellStart"/>
            <w:r w:rsidRPr="000F2553">
              <w:rPr>
                <w:rFonts w:eastAsia="RotisSemiSerifStd" w:cstheme="minorHAnsi"/>
              </w:rPr>
              <w:t>Govinakovi</w:t>
            </w:r>
            <w:proofErr w:type="spellEnd"/>
            <w:r w:rsidRPr="000F2553">
              <w:rPr>
                <w:rFonts w:eastAsia="RotisSemiSerifStd" w:cstheme="minorHAnsi"/>
              </w:rPr>
              <w:t xml:space="preserve"> </w:t>
            </w:r>
            <w:proofErr w:type="spellStart"/>
            <w:r w:rsidRPr="000F2553">
              <w:rPr>
                <w:rFonts w:eastAsia="RotisSemiSerifStd" w:cstheme="minorHAnsi"/>
              </w:rPr>
              <w:t>Shivamurthy</w:t>
            </w:r>
            <w:proofErr w:type="spellEnd"/>
            <w:r w:rsidRPr="000F2553">
              <w:rPr>
                <w:rFonts w:eastAsia="RotisSemiSerifStd" w:cstheme="minorHAnsi"/>
              </w:rPr>
              <w:t xml:space="preserve"> P. Effect of 125 Hz and</w:t>
            </w:r>
            <w:r>
              <w:rPr>
                <w:rFonts w:eastAsia="RotisSemiSerifStd" w:cstheme="minorHAnsi"/>
              </w:rPr>
              <w:t xml:space="preserve"> </w:t>
            </w:r>
            <w:r w:rsidRPr="000F2553">
              <w:rPr>
                <w:rFonts w:eastAsia="RotisSemiSerifStd" w:cstheme="minorHAnsi"/>
              </w:rPr>
              <w:t>150 Hz vibrational frequency electric toothbrushes on the rate of orthodontic tooth</w:t>
            </w:r>
          </w:p>
          <w:p w14:paraId="13B5C51C" w14:textId="458999AF" w:rsidR="001D23A1" w:rsidRPr="000F2553" w:rsidRDefault="001D23A1" w:rsidP="001D23A1">
            <w:pPr>
              <w:spacing w:after="0" w:line="240" w:lineRule="auto"/>
              <w:rPr>
                <w:rFonts w:cstheme="minorHAnsi"/>
              </w:rPr>
            </w:pPr>
            <w:r w:rsidRPr="000F2553">
              <w:rPr>
                <w:rFonts w:eastAsia="RotisSemiSerifStd" w:cstheme="minorHAnsi"/>
              </w:rPr>
              <w:t xml:space="preserve">movement and prostaglandin E2 levels. Korean J </w:t>
            </w:r>
            <w:proofErr w:type="spellStart"/>
            <w:r w:rsidRPr="000F2553">
              <w:rPr>
                <w:rFonts w:eastAsia="RotisSemiSerifStd" w:cstheme="minorHAnsi"/>
              </w:rPr>
              <w:t>Orthod</w:t>
            </w:r>
            <w:proofErr w:type="spellEnd"/>
            <w:r w:rsidRPr="000F2553">
              <w:rPr>
                <w:rFonts w:eastAsia="RotisSemiSerifStd" w:cstheme="minorHAnsi"/>
              </w:rPr>
              <w:t xml:space="preserve"> 2023;53(5):307-316.</w:t>
            </w:r>
            <w:r>
              <w:rPr>
                <w:rFonts w:eastAsia="RotisSemiSerifStd" w:cstheme="minorHAnsi"/>
              </w:rPr>
              <w:t xml:space="preserve"> </w:t>
            </w:r>
          </w:p>
        </w:tc>
        <w:tc>
          <w:tcPr>
            <w:tcW w:w="1003" w:type="dxa"/>
          </w:tcPr>
          <w:p w14:paraId="3F577513" w14:textId="4AD995AE" w:rsidR="001D23A1" w:rsidRDefault="001D23A1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193332B2" w14:textId="18501C84" w:rsidR="001D23A1" w:rsidRDefault="001D23A1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5C2C9381" w14:textId="5462A16F" w:rsidR="001D23A1" w:rsidRDefault="001D23A1" w:rsidP="001D23A1">
            <w:r>
              <w:t xml:space="preserve">Yes </w:t>
            </w:r>
          </w:p>
        </w:tc>
        <w:tc>
          <w:tcPr>
            <w:tcW w:w="890" w:type="dxa"/>
          </w:tcPr>
          <w:p w14:paraId="3523A896" w14:textId="66D802FA" w:rsidR="001D23A1" w:rsidRDefault="001D23A1" w:rsidP="001D23A1">
            <w:r>
              <w:t>Yes 1.361</w:t>
            </w:r>
          </w:p>
        </w:tc>
        <w:tc>
          <w:tcPr>
            <w:tcW w:w="954" w:type="dxa"/>
          </w:tcPr>
          <w:p w14:paraId="34074B79" w14:textId="07F720FE" w:rsidR="001D23A1" w:rsidRDefault="001D23A1" w:rsidP="001D23A1">
            <w:r>
              <w:t>no</w:t>
            </w:r>
          </w:p>
        </w:tc>
        <w:tc>
          <w:tcPr>
            <w:tcW w:w="3018" w:type="dxa"/>
          </w:tcPr>
          <w:p w14:paraId="16E737A7" w14:textId="2EB96087" w:rsidR="001D23A1" w:rsidRPr="009A51C4" w:rsidRDefault="001D23A1" w:rsidP="001D23A1">
            <w:pPr>
              <w:rPr>
                <w:b/>
                <w:bCs/>
              </w:rPr>
            </w:pPr>
            <w:r w:rsidRPr="009A51C4">
              <w:rPr>
                <w:b/>
                <w:bCs/>
              </w:rPr>
              <w:t>Faculty with external PhD scholar</w:t>
            </w:r>
          </w:p>
        </w:tc>
      </w:tr>
      <w:tr w:rsidR="001D23A1" w:rsidRPr="003A0720" w14:paraId="2D57C3F4" w14:textId="77777777" w:rsidTr="00084DCD">
        <w:trPr>
          <w:trHeight w:val="515"/>
        </w:trPr>
        <w:tc>
          <w:tcPr>
            <w:tcW w:w="589" w:type="dxa"/>
          </w:tcPr>
          <w:p w14:paraId="7214DF82" w14:textId="77777777" w:rsidR="001D23A1" w:rsidRPr="003A0720" w:rsidRDefault="001D23A1" w:rsidP="001D23A1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25CF6B66" w14:textId="77777777" w:rsidR="001D23A1" w:rsidRPr="003A0720" w:rsidRDefault="001D23A1" w:rsidP="001D23A1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8B8F3FC" w14:textId="77777777" w:rsidR="001D23A1" w:rsidRPr="00947A12" w:rsidRDefault="001D23A1" w:rsidP="001D23A1">
            <w:pPr>
              <w:autoSpaceDE w:val="0"/>
              <w:autoSpaceDN w:val="0"/>
              <w:adjustRightInd w:val="0"/>
              <w:spacing w:after="0"/>
              <w:rPr>
                <w:rFonts w:eastAsia="RotisSemiSerifStd" w:cstheme="minorHAnsi"/>
              </w:rPr>
            </w:pPr>
            <w:r w:rsidRPr="00947A12">
              <w:rPr>
                <w:rFonts w:eastAsia="RotisSemiSerifStd" w:cstheme="minorHAnsi"/>
              </w:rPr>
              <w:t>Kumar MD A, Kumar M S, Mathew S, et al.</w:t>
            </w:r>
          </w:p>
          <w:p w14:paraId="2157F48F" w14:textId="0A74D554" w:rsidR="001D23A1" w:rsidRPr="000F2553" w:rsidRDefault="001D23A1" w:rsidP="001D23A1">
            <w:pPr>
              <w:spacing w:after="0" w:line="240" w:lineRule="auto"/>
              <w:rPr>
                <w:rFonts w:cstheme="minorHAnsi"/>
              </w:rPr>
            </w:pPr>
            <w:r w:rsidRPr="00947A12">
              <w:rPr>
                <w:rFonts w:eastAsia="RotisSemiSerifStd" w:cstheme="minorHAnsi"/>
              </w:rPr>
              <w:t>Three-dimensional Comparison of Infra-zygomatic Crest Thickness</w:t>
            </w:r>
            <w:r>
              <w:rPr>
                <w:rFonts w:eastAsia="RotisSemiSerifStd" w:cstheme="minorHAnsi"/>
              </w:rPr>
              <w:t xml:space="preserve"> </w:t>
            </w:r>
            <w:r w:rsidRPr="00947A12">
              <w:rPr>
                <w:rFonts w:eastAsia="RotisSemiSerifStd" w:cstheme="minorHAnsi"/>
              </w:rPr>
              <w:t>in Different Facial Patterns: A Cross-sectional Study. World J Dent</w:t>
            </w:r>
            <w:r>
              <w:rPr>
                <w:rFonts w:eastAsia="RotisSemiSerifStd" w:cstheme="minorHAnsi"/>
              </w:rPr>
              <w:t xml:space="preserve"> </w:t>
            </w:r>
            <w:r w:rsidRPr="00947A12">
              <w:rPr>
                <w:rFonts w:eastAsia="RotisSemiSerifStd" w:cstheme="minorHAnsi"/>
              </w:rPr>
              <w:t>2023;14(6):552–558.</w:t>
            </w:r>
          </w:p>
        </w:tc>
        <w:tc>
          <w:tcPr>
            <w:tcW w:w="1003" w:type="dxa"/>
          </w:tcPr>
          <w:p w14:paraId="464DD6E2" w14:textId="3F28B5A2" w:rsidR="001D23A1" w:rsidRDefault="001D23A1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</w:p>
        </w:tc>
        <w:tc>
          <w:tcPr>
            <w:tcW w:w="1781" w:type="dxa"/>
          </w:tcPr>
          <w:p w14:paraId="33397A23" w14:textId="17CCD195" w:rsidR="001D23A1" w:rsidRDefault="001D23A1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3F0F68FB" w14:textId="279110C8" w:rsidR="001D23A1" w:rsidRDefault="001D23A1" w:rsidP="001D23A1">
            <w:r>
              <w:t xml:space="preserve">No </w:t>
            </w:r>
          </w:p>
        </w:tc>
        <w:tc>
          <w:tcPr>
            <w:tcW w:w="890" w:type="dxa"/>
          </w:tcPr>
          <w:p w14:paraId="4D3B3DF9" w14:textId="033D7F5C" w:rsidR="001D23A1" w:rsidRDefault="001D23A1" w:rsidP="001D23A1">
            <w:r>
              <w:t xml:space="preserve">No </w:t>
            </w:r>
          </w:p>
        </w:tc>
        <w:tc>
          <w:tcPr>
            <w:tcW w:w="954" w:type="dxa"/>
          </w:tcPr>
          <w:p w14:paraId="74C55CA9" w14:textId="694B9076" w:rsidR="001D23A1" w:rsidRDefault="001D23A1" w:rsidP="001D23A1">
            <w:r>
              <w:t xml:space="preserve">No </w:t>
            </w:r>
          </w:p>
        </w:tc>
        <w:tc>
          <w:tcPr>
            <w:tcW w:w="3018" w:type="dxa"/>
          </w:tcPr>
          <w:p w14:paraId="5280AC1D" w14:textId="12F1E6E0" w:rsidR="001D23A1" w:rsidRPr="009A51C4" w:rsidRDefault="001D23A1" w:rsidP="001D23A1">
            <w:pPr>
              <w:rPr>
                <w:b/>
                <w:bCs/>
              </w:rPr>
            </w:pPr>
            <w:r w:rsidRPr="009A51C4">
              <w:rPr>
                <w:b/>
                <w:bCs/>
              </w:rPr>
              <w:t>Faculty with PG</w:t>
            </w:r>
          </w:p>
        </w:tc>
      </w:tr>
      <w:tr w:rsidR="00873CF1" w:rsidRPr="003A0720" w14:paraId="214DA442" w14:textId="77777777" w:rsidTr="00084DCD">
        <w:trPr>
          <w:trHeight w:val="515"/>
        </w:trPr>
        <w:tc>
          <w:tcPr>
            <w:tcW w:w="589" w:type="dxa"/>
          </w:tcPr>
          <w:p w14:paraId="60AC397A" w14:textId="77777777" w:rsidR="00873CF1" w:rsidRPr="003A0720" w:rsidRDefault="00873CF1" w:rsidP="001D23A1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4A25F821" w14:textId="77777777" w:rsidR="00873CF1" w:rsidRPr="003A0720" w:rsidRDefault="00873CF1" w:rsidP="001D23A1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DACD8AA" w14:textId="56C356C4" w:rsidR="00873CF1" w:rsidRPr="00947A12" w:rsidRDefault="00873CF1" w:rsidP="001D23A1">
            <w:pPr>
              <w:autoSpaceDE w:val="0"/>
              <w:autoSpaceDN w:val="0"/>
              <w:adjustRightInd w:val="0"/>
              <w:spacing w:after="0"/>
              <w:rPr>
                <w:rFonts w:eastAsia="RotisSemiSerifStd" w:cstheme="minorHAnsi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Gujar, A.N.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Shivamurthy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P.G., 2023. Mechanical Vibration Effects on the Changes in Temperature of the Pulpal Chamber.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World Journal of Dentistry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pp.733-736.</w:t>
            </w:r>
          </w:p>
        </w:tc>
        <w:tc>
          <w:tcPr>
            <w:tcW w:w="1003" w:type="dxa"/>
          </w:tcPr>
          <w:p w14:paraId="5B00C0F5" w14:textId="03F37E0F" w:rsidR="00873CF1" w:rsidRDefault="00873CF1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46F7509E" w14:textId="70862B26" w:rsidR="00873CF1" w:rsidRDefault="00873CF1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18DCA088" w14:textId="06345F7E" w:rsidR="00873CF1" w:rsidRDefault="00873CF1" w:rsidP="001D23A1">
            <w:r>
              <w:t>No</w:t>
            </w:r>
          </w:p>
        </w:tc>
        <w:tc>
          <w:tcPr>
            <w:tcW w:w="890" w:type="dxa"/>
          </w:tcPr>
          <w:p w14:paraId="630740CB" w14:textId="0E3D1474" w:rsidR="00873CF1" w:rsidRDefault="00873CF1" w:rsidP="001D23A1">
            <w:r>
              <w:t>No</w:t>
            </w:r>
          </w:p>
        </w:tc>
        <w:tc>
          <w:tcPr>
            <w:tcW w:w="954" w:type="dxa"/>
          </w:tcPr>
          <w:p w14:paraId="284D9F36" w14:textId="17CC0F2D" w:rsidR="00873CF1" w:rsidRDefault="00873CF1" w:rsidP="001D23A1">
            <w:r>
              <w:t>0.132</w:t>
            </w:r>
          </w:p>
        </w:tc>
        <w:tc>
          <w:tcPr>
            <w:tcW w:w="3018" w:type="dxa"/>
          </w:tcPr>
          <w:p w14:paraId="44E1B0EF" w14:textId="37CAB420" w:rsidR="00873CF1" w:rsidRPr="009A51C4" w:rsidRDefault="00873CF1" w:rsidP="001D23A1">
            <w:pPr>
              <w:rPr>
                <w:b/>
                <w:bCs/>
              </w:rPr>
            </w:pPr>
            <w:r>
              <w:rPr>
                <w:b/>
                <w:bCs/>
              </w:rPr>
              <w:t>Faculty with PG</w:t>
            </w:r>
          </w:p>
        </w:tc>
      </w:tr>
      <w:tr w:rsidR="00E765B4" w:rsidRPr="003A0720" w14:paraId="080F7483" w14:textId="77777777" w:rsidTr="00084DCD">
        <w:trPr>
          <w:trHeight w:val="515"/>
        </w:trPr>
        <w:tc>
          <w:tcPr>
            <w:tcW w:w="589" w:type="dxa"/>
          </w:tcPr>
          <w:p w14:paraId="4204E95C" w14:textId="77777777" w:rsidR="00E765B4" w:rsidRPr="003A0720" w:rsidRDefault="00E765B4" w:rsidP="001D23A1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517957D8" w14:textId="77777777" w:rsidR="00E765B4" w:rsidRPr="003A0720" w:rsidRDefault="00E765B4" w:rsidP="001D23A1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72BE91D" w14:textId="23F29BB1" w:rsidR="00E765B4" w:rsidRDefault="00E765B4" w:rsidP="001D23A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Abraham, J.T.,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Sagarkar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R.M.,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Sabrish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Shivamurthy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P.G., Mathew, S. and Rakesh, N., 2023. Evaluation of Tongue Volume and Airway Volume in Skeletal Class I and Class II Patients using Cone Beam Computed Tomography-A Cross Sectional Study.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Dentistry 3000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(1).</w:t>
            </w:r>
          </w:p>
        </w:tc>
        <w:tc>
          <w:tcPr>
            <w:tcW w:w="1003" w:type="dxa"/>
          </w:tcPr>
          <w:p w14:paraId="2A9AC9BD" w14:textId="2B2A2B62" w:rsidR="00E765B4" w:rsidRDefault="00E765B4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</w:t>
            </w:r>
          </w:p>
        </w:tc>
        <w:tc>
          <w:tcPr>
            <w:tcW w:w="1781" w:type="dxa"/>
          </w:tcPr>
          <w:p w14:paraId="0F3A2716" w14:textId="59094B2F" w:rsidR="00E765B4" w:rsidRDefault="00E765B4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44FA3F26" w14:textId="22A12F01" w:rsidR="00E765B4" w:rsidRDefault="00E765B4" w:rsidP="001D23A1">
            <w:r>
              <w:t>No</w:t>
            </w:r>
          </w:p>
        </w:tc>
        <w:tc>
          <w:tcPr>
            <w:tcW w:w="890" w:type="dxa"/>
          </w:tcPr>
          <w:p w14:paraId="4F556B92" w14:textId="77777777" w:rsidR="00E765B4" w:rsidRDefault="00E765B4" w:rsidP="001D23A1"/>
        </w:tc>
        <w:tc>
          <w:tcPr>
            <w:tcW w:w="954" w:type="dxa"/>
          </w:tcPr>
          <w:p w14:paraId="1B0CA6EB" w14:textId="77777777" w:rsidR="00E765B4" w:rsidRDefault="00E765B4" w:rsidP="001D23A1"/>
        </w:tc>
        <w:tc>
          <w:tcPr>
            <w:tcW w:w="3018" w:type="dxa"/>
          </w:tcPr>
          <w:p w14:paraId="4F6C47E8" w14:textId="09DC110C" w:rsidR="00E765B4" w:rsidRDefault="00E765B4" w:rsidP="001D23A1">
            <w:pPr>
              <w:rPr>
                <w:b/>
                <w:bCs/>
              </w:rPr>
            </w:pPr>
            <w:r>
              <w:rPr>
                <w:b/>
                <w:bCs/>
              </w:rPr>
              <w:t>Faculty with PG</w:t>
            </w:r>
          </w:p>
        </w:tc>
      </w:tr>
      <w:tr w:rsidR="00A56912" w:rsidRPr="003A0720" w14:paraId="7FDB4608" w14:textId="77777777" w:rsidTr="00084DCD">
        <w:trPr>
          <w:trHeight w:val="515"/>
        </w:trPr>
        <w:tc>
          <w:tcPr>
            <w:tcW w:w="589" w:type="dxa"/>
          </w:tcPr>
          <w:p w14:paraId="15283134" w14:textId="764F1329" w:rsidR="00A56912" w:rsidRPr="003A0720" w:rsidRDefault="00A56912" w:rsidP="00A569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011" w:type="dxa"/>
          </w:tcPr>
          <w:p w14:paraId="41F44C0A" w14:textId="05800573" w:rsidR="00A56912" w:rsidRPr="003A0720" w:rsidRDefault="00A56912" w:rsidP="00A56912">
            <w:pPr>
              <w:rPr>
                <w:rFonts w:cstheme="minorHAnsi"/>
              </w:rPr>
            </w:pPr>
            <w:r>
              <w:rPr>
                <w:rFonts w:cstheme="minorHAnsi"/>
              </w:rPr>
              <w:t>OPATH</w:t>
            </w:r>
          </w:p>
        </w:tc>
        <w:tc>
          <w:tcPr>
            <w:tcW w:w="4231" w:type="dxa"/>
          </w:tcPr>
          <w:p w14:paraId="541605A8" w14:textId="773BF2D1" w:rsidR="00A56912" w:rsidRDefault="00A56912" w:rsidP="00A5691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Sreeshyla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H. S., Usha, H., Nitin, P., Sowmya, S. V., Augustine, D., &amp;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Haragannavar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, V. C. (2023). Digital microscopy: A routine mandate in future? A leaf out of Covid-19 pandemic laboratory experience. </w:t>
            </w:r>
            <w:r w:rsidRPr="00615B17"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>Journal of oral and maxillofacial pathology: JOMFP</w:t>
            </w: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, </w:t>
            </w:r>
            <w:r w:rsidRPr="00615B17"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>27</w:t>
            </w: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(1), 162–167.</w:t>
            </w:r>
          </w:p>
        </w:tc>
        <w:tc>
          <w:tcPr>
            <w:tcW w:w="1003" w:type="dxa"/>
          </w:tcPr>
          <w:p w14:paraId="6BE3D8B1" w14:textId="51DF38E8" w:rsidR="00A56912" w:rsidRDefault="00A56912" w:rsidP="00A56912">
            <w:pPr>
              <w:rPr>
                <w:rFonts w:cstheme="minorHAnsi"/>
              </w:rPr>
            </w:pPr>
            <w:r w:rsidRPr="009A51C4">
              <w:t>YES</w:t>
            </w:r>
          </w:p>
        </w:tc>
        <w:tc>
          <w:tcPr>
            <w:tcW w:w="1781" w:type="dxa"/>
          </w:tcPr>
          <w:p w14:paraId="1EFCF643" w14:textId="7B96F538" w:rsidR="00A56912" w:rsidRDefault="00A56912" w:rsidP="00A56912">
            <w:pPr>
              <w:rPr>
                <w:rFonts w:cstheme="minorHAnsi"/>
              </w:rPr>
            </w:pPr>
            <w:r w:rsidRPr="009A51C4">
              <w:t>Scopus Q</w:t>
            </w:r>
            <w:r>
              <w:t>3</w:t>
            </w:r>
          </w:p>
        </w:tc>
        <w:tc>
          <w:tcPr>
            <w:tcW w:w="783" w:type="dxa"/>
          </w:tcPr>
          <w:p w14:paraId="69803AD5" w14:textId="694A567C" w:rsidR="00A56912" w:rsidRDefault="00A56912" w:rsidP="00A56912">
            <w:r>
              <w:t>NO</w:t>
            </w:r>
          </w:p>
        </w:tc>
        <w:tc>
          <w:tcPr>
            <w:tcW w:w="890" w:type="dxa"/>
          </w:tcPr>
          <w:p w14:paraId="775DFD0E" w14:textId="63E4B7AC" w:rsidR="00A56912" w:rsidRDefault="00A56912" w:rsidP="00A56912">
            <w:r>
              <w:t>NO</w:t>
            </w:r>
          </w:p>
        </w:tc>
        <w:tc>
          <w:tcPr>
            <w:tcW w:w="954" w:type="dxa"/>
          </w:tcPr>
          <w:p w14:paraId="6BC1EFB4" w14:textId="58673F83" w:rsidR="00A56912" w:rsidRDefault="00A56912" w:rsidP="00A56912">
            <w:r w:rsidRPr="009A51C4">
              <w:t>NO</w:t>
            </w:r>
          </w:p>
        </w:tc>
        <w:tc>
          <w:tcPr>
            <w:tcW w:w="3018" w:type="dxa"/>
          </w:tcPr>
          <w:p w14:paraId="0A15C2B5" w14:textId="0BFC725D" w:rsidR="00A56912" w:rsidRDefault="00A56912" w:rsidP="00A56912">
            <w:pPr>
              <w:rPr>
                <w:b/>
                <w:bCs/>
              </w:rPr>
            </w:pPr>
            <w:r w:rsidRPr="009A51C4">
              <w:t xml:space="preserve"> Faculty</w:t>
            </w:r>
            <w:r>
              <w:t xml:space="preserve"> with external faculty</w:t>
            </w:r>
            <w:r w:rsidRPr="009A51C4">
              <w:t xml:space="preserve"> </w:t>
            </w:r>
          </w:p>
        </w:tc>
      </w:tr>
      <w:tr w:rsidR="00A56912" w:rsidRPr="003A0720" w14:paraId="3C33DF7C" w14:textId="77777777" w:rsidTr="00084DCD">
        <w:trPr>
          <w:trHeight w:val="515"/>
        </w:trPr>
        <w:tc>
          <w:tcPr>
            <w:tcW w:w="589" w:type="dxa"/>
          </w:tcPr>
          <w:p w14:paraId="0AB936FC" w14:textId="77777777" w:rsidR="00A56912" w:rsidRDefault="00A56912" w:rsidP="00A5691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7E7F1CA9" w14:textId="77777777" w:rsidR="00A56912" w:rsidRDefault="00A56912" w:rsidP="00A5691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D7B8BA8" w14:textId="6EBC113B" w:rsidR="00A56912" w:rsidRDefault="00A56912" w:rsidP="00A5691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15B17">
              <w:rPr>
                <w:rFonts w:eastAsia="Times New Roman" w:cstheme="minorHAnsi"/>
                <w:spacing w:val="3"/>
                <w:sz w:val="24"/>
                <w:szCs w:val="24"/>
                <w:lang w:eastAsia="en-IN"/>
              </w:rPr>
              <w:t xml:space="preserve">Hegde U, </w:t>
            </w:r>
            <w:proofErr w:type="spellStart"/>
            <w:r w:rsidRPr="00615B17">
              <w:rPr>
                <w:rFonts w:eastAsia="Times New Roman" w:cstheme="minorHAnsi"/>
                <w:spacing w:val="3"/>
                <w:sz w:val="24"/>
                <w:szCs w:val="24"/>
                <w:lang w:eastAsia="en-IN"/>
              </w:rPr>
              <w:t>Sreeshyla</w:t>
            </w:r>
            <w:proofErr w:type="spellEnd"/>
            <w:r w:rsidRPr="00615B17">
              <w:rPr>
                <w:rFonts w:eastAsia="Times New Roman" w:cstheme="minorHAnsi"/>
                <w:spacing w:val="3"/>
                <w:sz w:val="24"/>
                <w:szCs w:val="24"/>
                <w:lang w:eastAsia="en-IN"/>
              </w:rPr>
              <w:t xml:space="preserve"> HS, Sowmya SV, Augustine D, </w:t>
            </w:r>
            <w:proofErr w:type="spellStart"/>
            <w:r w:rsidRPr="00615B17">
              <w:rPr>
                <w:rFonts w:eastAsia="Times New Roman" w:cstheme="minorHAnsi"/>
                <w:spacing w:val="3"/>
                <w:sz w:val="24"/>
                <w:szCs w:val="24"/>
                <w:lang w:eastAsia="en-IN"/>
              </w:rPr>
              <w:t>Panakaje</w:t>
            </w:r>
            <w:proofErr w:type="spellEnd"/>
            <w:r w:rsidRPr="00615B17">
              <w:rPr>
                <w:rFonts w:eastAsia="Times New Roman" w:cstheme="minorHAnsi"/>
                <w:spacing w:val="3"/>
                <w:sz w:val="24"/>
                <w:szCs w:val="24"/>
                <w:lang w:eastAsia="en-IN"/>
              </w:rPr>
              <w:t xml:space="preserve"> MS, Ramesh A, </w:t>
            </w:r>
            <w:proofErr w:type="spellStart"/>
            <w:r w:rsidRPr="00615B17">
              <w:rPr>
                <w:rFonts w:eastAsia="Times New Roman" w:cstheme="minorHAnsi"/>
                <w:spacing w:val="3"/>
                <w:sz w:val="24"/>
                <w:szCs w:val="24"/>
                <w:lang w:eastAsia="en-IN"/>
              </w:rPr>
              <w:t>Haragannavar</w:t>
            </w:r>
            <w:proofErr w:type="spellEnd"/>
            <w:r w:rsidRPr="00615B17">
              <w:rPr>
                <w:rFonts w:eastAsia="Times New Roman" w:cstheme="minorHAnsi"/>
                <w:spacing w:val="3"/>
                <w:sz w:val="24"/>
                <w:szCs w:val="24"/>
                <w:lang w:eastAsia="en-IN"/>
              </w:rPr>
              <w:t xml:space="preserve"> VC, </w:t>
            </w:r>
            <w:proofErr w:type="spellStart"/>
            <w:r w:rsidRPr="00615B17">
              <w:rPr>
                <w:rFonts w:eastAsia="Times New Roman" w:cstheme="minorHAnsi"/>
                <w:spacing w:val="3"/>
                <w:sz w:val="24"/>
                <w:szCs w:val="24"/>
                <w:lang w:eastAsia="en-IN"/>
              </w:rPr>
              <w:t>Harshitha</w:t>
            </w:r>
            <w:proofErr w:type="spellEnd"/>
            <w:r w:rsidRPr="00615B17">
              <w:rPr>
                <w:rFonts w:eastAsia="Times New Roman" w:cstheme="minorHAnsi"/>
                <w:spacing w:val="3"/>
                <w:sz w:val="24"/>
                <w:szCs w:val="24"/>
                <w:lang w:eastAsia="en-IN"/>
              </w:rPr>
              <w:t xml:space="preserve"> N. (2023) Cell Block Technique in The Diagnosis of Oral Lesions–A Methodical Assessment</w:t>
            </w:r>
          </w:p>
        </w:tc>
        <w:tc>
          <w:tcPr>
            <w:tcW w:w="1003" w:type="dxa"/>
          </w:tcPr>
          <w:p w14:paraId="37A9AD6F" w14:textId="3FEDEE28" w:rsidR="00A56912" w:rsidRDefault="00A56912" w:rsidP="00A56912">
            <w:pPr>
              <w:rPr>
                <w:rFonts w:cstheme="minorHAnsi"/>
              </w:rPr>
            </w:pPr>
            <w:r>
              <w:t>NO</w:t>
            </w:r>
          </w:p>
        </w:tc>
        <w:tc>
          <w:tcPr>
            <w:tcW w:w="1781" w:type="dxa"/>
          </w:tcPr>
          <w:p w14:paraId="036F497A" w14:textId="25D659C3" w:rsidR="00A56912" w:rsidRDefault="00A56912" w:rsidP="00A56912">
            <w:pPr>
              <w:rPr>
                <w:rFonts w:cstheme="minorHAnsi"/>
              </w:rPr>
            </w:pPr>
            <w:r>
              <w:t>-</w:t>
            </w:r>
          </w:p>
        </w:tc>
        <w:tc>
          <w:tcPr>
            <w:tcW w:w="783" w:type="dxa"/>
          </w:tcPr>
          <w:p w14:paraId="5F62921A" w14:textId="2B3E5087" w:rsidR="00A56912" w:rsidRDefault="00A56912" w:rsidP="00A56912">
            <w:r>
              <w:t>-</w:t>
            </w:r>
          </w:p>
        </w:tc>
        <w:tc>
          <w:tcPr>
            <w:tcW w:w="890" w:type="dxa"/>
          </w:tcPr>
          <w:p w14:paraId="638BE5E8" w14:textId="10A417D9" w:rsidR="00A56912" w:rsidRDefault="00A56912" w:rsidP="00A56912">
            <w:r>
              <w:t>-</w:t>
            </w:r>
          </w:p>
        </w:tc>
        <w:tc>
          <w:tcPr>
            <w:tcW w:w="954" w:type="dxa"/>
          </w:tcPr>
          <w:p w14:paraId="08FFD5CB" w14:textId="02339A48" w:rsidR="00A56912" w:rsidRDefault="00A56912" w:rsidP="00A56912">
            <w:r>
              <w:t>-</w:t>
            </w:r>
          </w:p>
        </w:tc>
        <w:tc>
          <w:tcPr>
            <w:tcW w:w="3018" w:type="dxa"/>
          </w:tcPr>
          <w:p w14:paraId="59B97E6C" w14:textId="10B26359" w:rsidR="00A56912" w:rsidRDefault="00A56912" w:rsidP="00A56912">
            <w:pPr>
              <w:rPr>
                <w:b/>
                <w:bCs/>
              </w:rPr>
            </w:pPr>
            <w:r w:rsidRPr="009A51C4">
              <w:t>Faculty</w:t>
            </w:r>
            <w:r>
              <w:t xml:space="preserve"> with external faculty</w:t>
            </w:r>
          </w:p>
        </w:tc>
      </w:tr>
      <w:tr w:rsidR="00A56912" w:rsidRPr="003A0720" w14:paraId="75793B51" w14:textId="77777777" w:rsidTr="00084DCD">
        <w:trPr>
          <w:trHeight w:val="515"/>
        </w:trPr>
        <w:tc>
          <w:tcPr>
            <w:tcW w:w="589" w:type="dxa"/>
          </w:tcPr>
          <w:p w14:paraId="5772F403" w14:textId="77777777" w:rsidR="00A56912" w:rsidRDefault="00A56912" w:rsidP="00A5691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700801DC" w14:textId="77777777" w:rsidR="00A56912" w:rsidRDefault="00A56912" w:rsidP="00A5691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E3C4EE7" w14:textId="5ED4665D" w:rsidR="00A56912" w:rsidRDefault="00A56912" w:rsidP="00A5691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Naik, N., Kulkarni, K., Hashim, M.I.,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Drolia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M., Pranay, M., SV, S., Rao, R.S., Augustine, D. and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Haragannavar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V.C., (2023). Role of Collagen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Fibers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in Predicting the Biologic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Behavior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of Dentigerous Cyst, Normal Dental Follicle, and Hyperplastic Dental Follicle Using Special Stains. World</w:t>
            </w: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Journal of Dentistry</w:t>
            </w: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, 14(1), p.68</w:t>
            </w:r>
          </w:p>
        </w:tc>
        <w:tc>
          <w:tcPr>
            <w:tcW w:w="1003" w:type="dxa"/>
          </w:tcPr>
          <w:p w14:paraId="6AABE907" w14:textId="1567F3E0" w:rsidR="00A56912" w:rsidRDefault="00A56912" w:rsidP="00A56912">
            <w:pPr>
              <w:rPr>
                <w:rFonts w:cstheme="minorHAnsi"/>
              </w:rPr>
            </w:pPr>
            <w:r>
              <w:t>NO</w:t>
            </w:r>
          </w:p>
        </w:tc>
        <w:tc>
          <w:tcPr>
            <w:tcW w:w="1781" w:type="dxa"/>
          </w:tcPr>
          <w:p w14:paraId="6017AE26" w14:textId="5003960A" w:rsidR="00A56912" w:rsidRDefault="00A56912" w:rsidP="00A56912">
            <w:pPr>
              <w:rPr>
                <w:rFonts w:cstheme="minorHAnsi"/>
              </w:rPr>
            </w:pPr>
            <w:r>
              <w:t>Scopus Q4</w:t>
            </w:r>
          </w:p>
        </w:tc>
        <w:tc>
          <w:tcPr>
            <w:tcW w:w="783" w:type="dxa"/>
          </w:tcPr>
          <w:p w14:paraId="0780C445" w14:textId="349FEA48" w:rsidR="00A56912" w:rsidRDefault="00A56912" w:rsidP="00A56912">
            <w:r>
              <w:t>NO</w:t>
            </w:r>
          </w:p>
        </w:tc>
        <w:tc>
          <w:tcPr>
            <w:tcW w:w="890" w:type="dxa"/>
          </w:tcPr>
          <w:p w14:paraId="71F64416" w14:textId="75EB8E2A" w:rsidR="00A56912" w:rsidRDefault="00A56912" w:rsidP="00A56912">
            <w:r>
              <w:t>NO</w:t>
            </w:r>
          </w:p>
        </w:tc>
        <w:tc>
          <w:tcPr>
            <w:tcW w:w="954" w:type="dxa"/>
          </w:tcPr>
          <w:p w14:paraId="0F9EE29A" w14:textId="68B9E26F" w:rsidR="00A56912" w:rsidRDefault="00A56912" w:rsidP="00A56912">
            <w:r>
              <w:t>NO</w:t>
            </w:r>
          </w:p>
        </w:tc>
        <w:tc>
          <w:tcPr>
            <w:tcW w:w="3018" w:type="dxa"/>
          </w:tcPr>
          <w:p w14:paraId="5D67E2EB" w14:textId="3E309BDC" w:rsidR="00A56912" w:rsidRDefault="00A56912" w:rsidP="00A56912">
            <w:pPr>
              <w:rPr>
                <w:b/>
                <w:bCs/>
              </w:rPr>
            </w:pPr>
            <w:r>
              <w:t>Faculty with UG</w:t>
            </w:r>
          </w:p>
        </w:tc>
      </w:tr>
      <w:tr w:rsidR="00A56912" w:rsidRPr="003A0720" w14:paraId="54738C8B" w14:textId="77777777" w:rsidTr="00084DCD">
        <w:trPr>
          <w:trHeight w:val="515"/>
        </w:trPr>
        <w:tc>
          <w:tcPr>
            <w:tcW w:w="589" w:type="dxa"/>
          </w:tcPr>
          <w:p w14:paraId="4178C8A1" w14:textId="77777777" w:rsidR="00A56912" w:rsidRDefault="00A56912" w:rsidP="00A5691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51B59836" w14:textId="77777777" w:rsidR="00A56912" w:rsidRDefault="00A56912" w:rsidP="00A5691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E9D33A6" w14:textId="69D81119" w:rsidR="00A56912" w:rsidRDefault="00A56912" w:rsidP="00A5691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Ghosh, S., Sapkota, B. S., Rao, R. S., Patil, S., Rajkumar, C., &amp;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Lakshminarayan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, S. (2023). Expansion microscopy: A revolution in diagnostic pathology. Journal of microscopy, 290(1), 3–9</w:t>
            </w:r>
          </w:p>
        </w:tc>
        <w:tc>
          <w:tcPr>
            <w:tcW w:w="1003" w:type="dxa"/>
          </w:tcPr>
          <w:p w14:paraId="2FD32D97" w14:textId="2114E58B" w:rsidR="00A56912" w:rsidRDefault="00A56912" w:rsidP="00A56912">
            <w:pPr>
              <w:rPr>
                <w:rFonts w:cstheme="minorHAnsi"/>
              </w:rPr>
            </w:pPr>
            <w:r>
              <w:t>YES</w:t>
            </w:r>
          </w:p>
        </w:tc>
        <w:tc>
          <w:tcPr>
            <w:tcW w:w="1781" w:type="dxa"/>
          </w:tcPr>
          <w:p w14:paraId="5388BBDE" w14:textId="39B6C9D5" w:rsidR="00A56912" w:rsidRDefault="00A56912" w:rsidP="00A56912">
            <w:pPr>
              <w:rPr>
                <w:rFonts w:cstheme="minorHAnsi"/>
              </w:rPr>
            </w:pPr>
            <w:r>
              <w:t>Scopus Q2</w:t>
            </w:r>
          </w:p>
        </w:tc>
        <w:tc>
          <w:tcPr>
            <w:tcW w:w="783" w:type="dxa"/>
          </w:tcPr>
          <w:p w14:paraId="3F9C0E76" w14:textId="3469BD08" w:rsidR="00A56912" w:rsidRDefault="00A56912" w:rsidP="00A56912">
            <w:r>
              <w:t>NO</w:t>
            </w:r>
          </w:p>
        </w:tc>
        <w:tc>
          <w:tcPr>
            <w:tcW w:w="890" w:type="dxa"/>
          </w:tcPr>
          <w:p w14:paraId="60E3A466" w14:textId="5785AEC7" w:rsidR="00A56912" w:rsidRDefault="00A56912" w:rsidP="00A56912">
            <w:r>
              <w:t>2.0</w:t>
            </w:r>
          </w:p>
        </w:tc>
        <w:tc>
          <w:tcPr>
            <w:tcW w:w="954" w:type="dxa"/>
          </w:tcPr>
          <w:p w14:paraId="1826CD9A" w14:textId="3E8EDE16" w:rsidR="00A56912" w:rsidRDefault="00A56912" w:rsidP="00A56912">
            <w:r>
              <w:t>NO</w:t>
            </w:r>
          </w:p>
        </w:tc>
        <w:tc>
          <w:tcPr>
            <w:tcW w:w="3018" w:type="dxa"/>
          </w:tcPr>
          <w:p w14:paraId="23AA39AE" w14:textId="09EACB03" w:rsidR="00A56912" w:rsidRDefault="00A56912" w:rsidP="00A56912">
            <w:pPr>
              <w:rPr>
                <w:b/>
                <w:bCs/>
              </w:rPr>
            </w:pPr>
            <w:r w:rsidRPr="009A51C4">
              <w:t>Faculty</w:t>
            </w:r>
            <w:r>
              <w:t xml:space="preserve"> with external faculty</w:t>
            </w:r>
          </w:p>
        </w:tc>
      </w:tr>
      <w:tr w:rsidR="00A56912" w:rsidRPr="003A0720" w14:paraId="03B39C42" w14:textId="77777777" w:rsidTr="00084DCD">
        <w:trPr>
          <w:trHeight w:val="515"/>
        </w:trPr>
        <w:tc>
          <w:tcPr>
            <w:tcW w:w="589" w:type="dxa"/>
          </w:tcPr>
          <w:p w14:paraId="79D2C3D9" w14:textId="77777777" w:rsidR="00A56912" w:rsidRDefault="00A56912" w:rsidP="00A5691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25B0572A" w14:textId="77777777" w:rsidR="00A56912" w:rsidRDefault="00A56912" w:rsidP="00A5691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90CBF7F" w14:textId="0F7ADD7A" w:rsidR="00A56912" w:rsidRDefault="00A56912" w:rsidP="00A5691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Khan, W., Augustine, D. and Rao, R.S., (2023). Inverse correlation of CD3 &amp; vascular endothelial growth factor in incisional oral squamous cell carcinoma biopsies predicts nodal metastasis &amp; poor survival of patients.</w:t>
            </w: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</w:t>
            </w:r>
            <w:r w:rsidRPr="00615B17"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>Indian Journal of Medical Research</w:t>
            </w: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, 157(5), pp.438-446.</w:t>
            </w:r>
          </w:p>
        </w:tc>
        <w:tc>
          <w:tcPr>
            <w:tcW w:w="1003" w:type="dxa"/>
          </w:tcPr>
          <w:p w14:paraId="791B51C9" w14:textId="778F4B50" w:rsidR="00A56912" w:rsidRDefault="00A56912" w:rsidP="00A56912">
            <w:pPr>
              <w:rPr>
                <w:rFonts w:cstheme="minorHAnsi"/>
              </w:rPr>
            </w:pPr>
            <w:r>
              <w:t>YES</w:t>
            </w:r>
          </w:p>
        </w:tc>
        <w:tc>
          <w:tcPr>
            <w:tcW w:w="1781" w:type="dxa"/>
          </w:tcPr>
          <w:p w14:paraId="281D8687" w14:textId="4F492C87" w:rsidR="00A56912" w:rsidRDefault="00A56912" w:rsidP="00A56912">
            <w:pPr>
              <w:rPr>
                <w:rFonts w:cstheme="minorHAnsi"/>
              </w:rPr>
            </w:pPr>
            <w:r>
              <w:t>Scopus Q2</w:t>
            </w:r>
          </w:p>
        </w:tc>
        <w:tc>
          <w:tcPr>
            <w:tcW w:w="783" w:type="dxa"/>
          </w:tcPr>
          <w:p w14:paraId="0FBEC249" w14:textId="453E299C" w:rsidR="00A56912" w:rsidRDefault="00A56912" w:rsidP="00A56912">
            <w:r>
              <w:t>YES</w:t>
            </w:r>
          </w:p>
        </w:tc>
        <w:tc>
          <w:tcPr>
            <w:tcW w:w="890" w:type="dxa"/>
          </w:tcPr>
          <w:p w14:paraId="24302ACF" w14:textId="7CCF1518" w:rsidR="00A56912" w:rsidRDefault="00A56912" w:rsidP="00A56912">
            <w:r>
              <w:t>4.2</w:t>
            </w:r>
          </w:p>
        </w:tc>
        <w:tc>
          <w:tcPr>
            <w:tcW w:w="954" w:type="dxa"/>
          </w:tcPr>
          <w:p w14:paraId="66E71B31" w14:textId="2F69283D" w:rsidR="00A56912" w:rsidRDefault="00A56912" w:rsidP="00A56912">
            <w:r>
              <w:t>NO</w:t>
            </w:r>
          </w:p>
        </w:tc>
        <w:tc>
          <w:tcPr>
            <w:tcW w:w="3018" w:type="dxa"/>
          </w:tcPr>
          <w:p w14:paraId="4B0B1864" w14:textId="70398300" w:rsidR="00A56912" w:rsidRDefault="00A56912" w:rsidP="00A56912">
            <w:pPr>
              <w:rPr>
                <w:b/>
                <w:bCs/>
              </w:rPr>
            </w:pPr>
            <w:r w:rsidRPr="009A51C4">
              <w:t>Faculty</w:t>
            </w:r>
            <w:r>
              <w:t xml:space="preserve"> with external faculty</w:t>
            </w:r>
          </w:p>
        </w:tc>
      </w:tr>
      <w:tr w:rsidR="00A56912" w:rsidRPr="003A0720" w14:paraId="6104A50F" w14:textId="77777777" w:rsidTr="00084DCD">
        <w:trPr>
          <w:trHeight w:val="515"/>
        </w:trPr>
        <w:tc>
          <w:tcPr>
            <w:tcW w:w="589" w:type="dxa"/>
          </w:tcPr>
          <w:p w14:paraId="178F0631" w14:textId="77777777" w:rsidR="00A56912" w:rsidRDefault="00A56912" w:rsidP="00A5691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64ED53A6" w14:textId="77777777" w:rsidR="00A56912" w:rsidRDefault="00A56912" w:rsidP="00A5691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FAEFCF0" w14:textId="696384D8" w:rsidR="00A56912" w:rsidRDefault="00A56912" w:rsidP="00A5691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Pushpalatha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C., Gayathri, V.S., Sowmya, S.V., Augustine, D.,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Alamoudi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A., Zidane, B.,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Albar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N.H.M. and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Bhandi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, S., 2023. Nanohydroxyapatite in Dentistry: A Comprehensive Review. </w:t>
            </w:r>
            <w:r w:rsidRPr="00615B17"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>Saudi Dental Journal</w:t>
            </w: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003" w:type="dxa"/>
          </w:tcPr>
          <w:p w14:paraId="772A8A21" w14:textId="29EC3766" w:rsidR="00A56912" w:rsidRDefault="00A56912" w:rsidP="00A56912">
            <w:pPr>
              <w:rPr>
                <w:rFonts w:cstheme="minorHAnsi"/>
              </w:rPr>
            </w:pPr>
            <w:r>
              <w:t>YES</w:t>
            </w:r>
          </w:p>
        </w:tc>
        <w:tc>
          <w:tcPr>
            <w:tcW w:w="1781" w:type="dxa"/>
          </w:tcPr>
          <w:p w14:paraId="36021970" w14:textId="6616113B" w:rsidR="00A56912" w:rsidRDefault="00A56912" w:rsidP="00A56912">
            <w:pPr>
              <w:rPr>
                <w:rFonts w:cstheme="minorHAnsi"/>
              </w:rPr>
            </w:pPr>
            <w:r>
              <w:t>Scopus Q2</w:t>
            </w:r>
          </w:p>
        </w:tc>
        <w:tc>
          <w:tcPr>
            <w:tcW w:w="783" w:type="dxa"/>
          </w:tcPr>
          <w:p w14:paraId="0996A480" w14:textId="779FE1B7" w:rsidR="00A56912" w:rsidRDefault="00A56912" w:rsidP="00A56912">
            <w:r>
              <w:t>YES</w:t>
            </w:r>
          </w:p>
        </w:tc>
        <w:tc>
          <w:tcPr>
            <w:tcW w:w="890" w:type="dxa"/>
          </w:tcPr>
          <w:p w14:paraId="73316890" w14:textId="4BA32F27" w:rsidR="00A56912" w:rsidRDefault="00A56912" w:rsidP="00A56912">
            <w:r>
              <w:t>0.49</w:t>
            </w:r>
          </w:p>
        </w:tc>
        <w:tc>
          <w:tcPr>
            <w:tcW w:w="954" w:type="dxa"/>
          </w:tcPr>
          <w:p w14:paraId="498540A4" w14:textId="4E54C6CE" w:rsidR="00A56912" w:rsidRDefault="00A56912" w:rsidP="00A56912">
            <w:r>
              <w:t>NO</w:t>
            </w:r>
          </w:p>
        </w:tc>
        <w:tc>
          <w:tcPr>
            <w:tcW w:w="3018" w:type="dxa"/>
          </w:tcPr>
          <w:p w14:paraId="180DB5D0" w14:textId="255BAC4C" w:rsidR="00A56912" w:rsidRDefault="00A56912" w:rsidP="00A56912">
            <w:pPr>
              <w:rPr>
                <w:b/>
                <w:bCs/>
              </w:rPr>
            </w:pPr>
            <w:r w:rsidRPr="009A51C4">
              <w:t>Faculty</w:t>
            </w:r>
            <w:r>
              <w:t xml:space="preserve"> with external faculty</w:t>
            </w:r>
          </w:p>
        </w:tc>
      </w:tr>
      <w:tr w:rsidR="00A56912" w:rsidRPr="003A0720" w14:paraId="7AB73CC9" w14:textId="77777777" w:rsidTr="00084DCD">
        <w:trPr>
          <w:trHeight w:val="515"/>
        </w:trPr>
        <w:tc>
          <w:tcPr>
            <w:tcW w:w="589" w:type="dxa"/>
          </w:tcPr>
          <w:p w14:paraId="11AA9B43" w14:textId="77777777" w:rsidR="00A56912" w:rsidRDefault="00A56912" w:rsidP="00A5691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59132431" w14:textId="77777777" w:rsidR="00A56912" w:rsidRDefault="00A56912" w:rsidP="00A5691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E60573F" w14:textId="1B11C156" w:rsidR="00A56912" w:rsidRDefault="00A56912" w:rsidP="00A5691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Dheeraj, B.R., Savitha, J.N., Reddy, K.K.,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Haragannavar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, V.C., Augustine, D., Sowmya, S.V. and Rao, R.S., 2023. Role of Apoptosis in Inflammatory Gingival Lesions: A Histochemical Study. </w:t>
            </w:r>
            <w:r w:rsidRPr="00615B17"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>World Journal of Dentistry</w:t>
            </w: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, </w:t>
            </w:r>
            <w:r w:rsidRPr="00615B17"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>14</w:t>
            </w: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(6), pp.530-534.</w:t>
            </w:r>
          </w:p>
        </w:tc>
        <w:tc>
          <w:tcPr>
            <w:tcW w:w="1003" w:type="dxa"/>
          </w:tcPr>
          <w:p w14:paraId="60FFF7DB" w14:textId="1332C508" w:rsidR="00A56912" w:rsidRDefault="00A56912" w:rsidP="00A56912">
            <w:pPr>
              <w:rPr>
                <w:rFonts w:cstheme="minorHAnsi"/>
              </w:rPr>
            </w:pPr>
            <w:r>
              <w:t>NO</w:t>
            </w:r>
          </w:p>
        </w:tc>
        <w:tc>
          <w:tcPr>
            <w:tcW w:w="1781" w:type="dxa"/>
          </w:tcPr>
          <w:p w14:paraId="56D482F2" w14:textId="1DBD6DA5" w:rsidR="00A56912" w:rsidRDefault="00A56912" w:rsidP="00A56912">
            <w:pPr>
              <w:rPr>
                <w:rFonts w:cstheme="minorHAnsi"/>
              </w:rPr>
            </w:pPr>
            <w:r>
              <w:t>Scopus Q4</w:t>
            </w:r>
          </w:p>
        </w:tc>
        <w:tc>
          <w:tcPr>
            <w:tcW w:w="783" w:type="dxa"/>
          </w:tcPr>
          <w:p w14:paraId="31B05774" w14:textId="07240D17" w:rsidR="00A56912" w:rsidRDefault="00A56912" w:rsidP="00A56912">
            <w:r>
              <w:t>NO</w:t>
            </w:r>
          </w:p>
        </w:tc>
        <w:tc>
          <w:tcPr>
            <w:tcW w:w="890" w:type="dxa"/>
          </w:tcPr>
          <w:p w14:paraId="5517D94D" w14:textId="0D16DD09" w:rsidR="00A56912" w:rsidRDefault="00A56912" w:rsidP="00A56912">
            <w:r>
              <w:t>-</w:t>
            </w:r>
          </w:p>
        </w:tc>
        <w:tc>
          <w:tcPr>
            <w:tcW w:w="954" w:type="dxa"/>
          </w:tcPr>
          <w:p w14:paraId="0EF848DA" w14:textId="412A6628" w:rsidR="00A56912" w:rsidRDefault="00A56912" w:rsidP="00A56912">
            <w:r>
              <w:t>NO</w:t>
            </w:r>
          </w:p>
        </w:tc>
        <w:tc>
          <w:tcPr>
            <w:tcW w:w="3018" w:type="dxa"/>
          </w:tcPr>
          <w:p w14:paraId="129DD5BD" w14:textId="77777777" w:rsidR="00A56912" w:rsidRDefault="00A56912" w:rsidP="00A56912">
            <w:r>
              <w:t>Faculty with PG</w:t>
            </w:r>
          </w:p>
          <w:p w14:paraId="660F798E" w14:textId="77777777" w:rsidR="00A56912" w:rsidRDefault="00A56912" w:rsidP="00A56912">
            <w:pPr>
              <w:rPr>
                <w:b/>
                <w:bCs/>
              </w:rPr>
            </w:pPr>
          </w:p>
        </w:tc>
      </w:tr>
      <w:tr w:rsidR="00A56912" w:rsidRPr="003A0720" w14:paraId="2CA7EE24" w14:textId="77777777" w:rsidTr="00084DCD">
        <w:trPr>
          <w:trHeight w:val="515"/>
        </w:trPr>
        <w:tc>
          <w:tcPr>
            <w:tcW w:w="589" w:type="dxa"/>
          </w:tcPr>
          <w:p w14:paraId="2F83F636" w14:textId="77777777" w:rsidR="00A56912" w:rsidRDefault="00A56912" w:rsidP="00A5691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74893DFF" w14:textId="77777777" w:rsidR="00A56912" w:rsidRDefault="00A56912" w:rsidP="00A5691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01C4B4F" w14:textId="4C1D78E5" w:rsidR="00A56912" w:rsidRDefault="00A56912" w:rsidP="00A5691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Rajaram, R.B., Gunasekaran, M., Augustine, D., SV, S. and Prasad, K., </w:t>
            </w: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lastRenderedPageBreak/>
              <w:t>2023. Co-existence of Odontogenic Myxoma and Fragile X Syndrome: A Rare Report and Review of Management Considerations.</w:t>
            </w: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</w:t>
            </w:r>
            <w:r w:rsidRPr="00615B17"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>World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 xml:space="preserve"> </w:t>
            </w:r>
            <w:r w:rsidRPr="00615B17"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>Journal of Dentistry</w:t>
            </w: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, </w:t>
            </w:r>
            <w:r w:rsidRPr="00615B17"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>14</w:t>
            </w: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(5), p.467.</w:t>
            </w:r>
          </w:p>
        </w:tc>
        <w:tc>
          <w:tcPr>
            <w:tcW w:w="1003" w:type="dxa"/>
          </w:tcPr>
          <w:p w14:paraId="6881F049" w14:textId="21B3BCBD" w:rsidR="00A56912" w:rsidRDefault="00A56912" w:rsidP="00A56912">
            <w:pPr>
              <w:rPr>
                <w:rFonts w:cstheme="minorHAnsi"/>
              </w:rPr>
            </w:pPr>
            <w:r>
              <w:lastRenderedPageBreak/>
              <w:t>NO</w:t>
            </w:r>
          </w:p>
        </w:tc>
        <w:tc>
          <w:tcPr>
            <w:tcW w:w="1781" w:type="dxa"/>
          </w:tcPr>
          <w:p w14:paraId="5BEC1183" w14:textId="075C6672" w:rsidR="00A56912" w:rsidRDefault="00A56912" w:rsidP="00A56912">
            <w:pPr>
              <w:rPr>
                <w:rFonts w:cstheme="minorHAnsi"/>
              </w:rPr>
            </w:pPr>
            <w:r>
              <w:t>Scopus Q4</w:t>
            </w:r>
          </w:p>
        </w:tc>
        <w:tc>
          <w:tcPr>
            <w:tcW w:w="783" w:type="dxa"/>
          </w:tcPr>
          <w:p w14:paraId="0A68A523" w14:textId="7ED2D756" w:rsidR="00A56912" w:rsidRDefault="00A56912" w:rsidP="00A56912">
            <w:r>
              <w:t>NO</w:t>
            </w:r>
          </w:p>
        </w:tc>
        <w:tc>
          <w:tcPr>
            <w:tcW w:w="890" w:type="dxa"/>
          </w:tcPr>
          <w:p w14:paraId="6B93DB52" w14:textId="799BF9B9" w:rsidR="00A56912" w:rsidRDefault="00A56912" w:rsidP="00A56912">
            <w:r>
              <w:t>-</w:t>
            </w:r>
          </w:p>
        </w:tc>
        <w:tc>
          <w:tcPr>
            <w:tcW w:w="954" w:type="dxa"/>
          </w:tcPr>
          <w:p w14:paraId="2251CE0E" w14:textId="6FC8153B" w:rsidR="00A56912" w:rsidRDefault="00A56912" w:rsidP="00A56912">
            <w:r>
              <w:t>NO</w:t>
            </w:r>
          </w:p>
        </w:tc>
        <w:tc>
          <w:tcPr>
            <w:tcW w:w="3018" w:type="dxa"/>
          </w:tcPr>
          <w:p w14:paraId="69E36F58" w14:textId="77777777" w:rsidR="00A56912" w:rsidRDefault="00A56912" w:rsidP="00A56912">
            <w:r>
              <w:t>Faculty with PG</w:t>
            </w:r>
          </w:p>
          <w:p w14:paraId="375AACE7" w14:textId="77777777" w:rsidR="00A56912" w:rsidRDefault="00A56912" w:rsidP="00A56912">
            <w:pPr>
              <w:rPr>
                <w:b/>
                <w:bCs/>
              </w:rPr>
            </w:pPr>
          </w:p>
        </w:tc>
      </w:tr>
      <w:tr w:rsidR="00A56912" w:rsidRPr="003A0720" w14:paraId="1EFC1416" w14:textId="77777777" w:rsidTr="00084DCD">
        <w:trPr>
          <w:trHeight w:val="515"/>
        </w:trPr>
        <w:tc>
          <w:tcPr>
            <w:tcW w:w="589" w:type="dxa"/>
          </w:tcPr>
          <w:p w14:paraId="633BC910" w14:textId="77777777" w:rsidR="00A56912" w:rsidRDefault="00A56912" w:rsidP="00A5691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079D5417" w14:textId="77777777" w:rsidR="00A56912" w:rsidRDefault="00A56912" w:rsidP="00A5691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9AFB1B3" w14:textId="553366FF" w:rsidR="00A56912" w:rsidRDefault="00A56912" w:rsidP="00A5691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Mohanty, S.,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Shivanna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D.B., Rao, R.S.,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Astekar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M., Chandrashekar, C., Radhakrishnan, R.,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Sanjeevareddygari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S.,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Kotrashetti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V. and Kumar, P., 2023. Development of Automated Risk Stratification for Sporadic Odontogenic </w:t>
            </w:r>
            <w:proofErr w:type="spellStart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Keratocyst</w:t>
            </w:r>
            <w:proofErr w:type="spellEnd"/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Whole Slide Images with an Attention-Based Image Sequence Analyzer. </w:t>
            </w:r>
            <w:r w:rsidRPr="00615B17"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>Diagnostics</w:t>
            </w: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, </w:t>
            </w:r>
            <w:r w:rsidRPr="00615B17"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>13</w:t>
            </w:r>
            <w:r w:rsidRPr="00615B17">
              <w:rPr>
                <w:rFonts w:eastAsia="Times New Roman" w:cstheme="minorHAnsi"/>
                <w:sz w:val="24"/>
                <w:szCs w:val="24"/>
                <w:lang w:eastAsia="en-IN"/>
              </w:rPr>
              <w:t>(23), p.3539.</w:t>
            </w:r>
            <w:r w:rsidRPr="00615B17">
              <w:rPr>
                <w:rFonts w:eastAsia="Times New Roman" w:cstheme="minorHAnsi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0033149" wp14:editId="05867F89">
                  <wp:extent cx="7620" cy="7620"/>
                  <wp:effectExtent l="0" t="0" r="0" b="0"/>
                  <wp:docPr id="11001893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</w:tcPr>
          <w:p w14:paraId="2440F479" w14:textId="13D75F39" w:rsidR="00A56912" w:rsidRDefault="00A56912" w:rsidP="00A56912">
            <w:pPr>
              <w:rPr>
                <w:rFonts w:cstheme="minorHAnsi"/>
              </w:rPr>
            </w:pPr>
            <w:r>
              <w:t>YES</w:t>
            </w:r>
          </w:p>
        </w:tc>
        <w:tc>
          <w:tcPr>
            <w:tcW w:w="1781" w:type="dxa"/>
          </w:tcPr>
          <w:p w14:paraId="6AEF94A1" w14:textId="486CC6E1" w:rsidR="00A56912" w:rsidRDefault="00A56912" w:rsidP="00A56912">
            <w:pPr>
              <w:rPr>
                <w:rFonts w:cstheme="minorHAnsi"/>
              </w:rPr>
            </w:pPr>
            <w:r>
              <w:t>Scopus Q2</w:t>
            </w:r>
          </w:p>
        </w:tc>
        <w:tc>
          <w:tcPr>
            <w:tcW w:w="783" w:type="dxa"/>
          </w:tcPr>
          <w:p w14:paraId="0425DA0E" w14:textId="10166FEC" w:rsidR="00A56912" w:rsidRDefault="00A56912" w:rsidP="00A56912">
            <w:r>
              <w:t>YES</w:t>
            </w:r>
          </w:p>
        </w:tc>
        <w:tc>
          <w:tcPr>
            <w:tcW w:w="890" w:type="dxa"/>
          </w:tcPr>
          <w:p w14:paraId="3B2AFE6A" w14:textId="47D05D77" w:rsidR="00A56912" w:rsidRDefault="00A56912" w:rsidP="00A56912">
            <w:r>
              <w:t>3.9</w:t>
            </w:r>
          </w:p>
        </w:tc>
        <w:tc>
          <w:tcPr>
            <w:tcW w:w="954" w:type="dxa"/>
          </w:tcPr>
          <w:p w14:paraId="7B6EEC3D" w14:textId="1F9E88EE" w:rsidR="00A56912" w:rsidRDefault="00A56912" w:rsidP="00A56912">
            <w:r>
              <w:t>NO</w:t>
            </w:r>
          </w:p>
        </w:tc>
        <w:tc>
          <w:tcPr>
            <w:tcW w:w="3018" w:type="dxa"/>
          </w:tcPr>
          <w:p w14:paraId="6969E827" w14:textId="1FF7DF1D" w:rsidR="00A56912" w:rsidRDefault="00A56912" w:rsidP="00A56912">
            <w:pPr>
              <w:rPr>
                <w:b/>
                <w:bCs/>
              </w:rPr>
            </w:pPr>
            <w:r w:rsidRPr="009A51C4">
              <w:t>Faculty</w:t>
            </w:r>
            <w:r>
              <w:t xml:space="preserve"> with external faculty</w:t>
            </w:r>
          </w:p>
        </w:tc>
      </w:tr>
      <w:tr w:rsidR="00A56912" w:rsidRPr="003A0720" w14:paraId="0AB6E3BA" w14:textId="77777777" w:rsidTr="00084DCD">
        <w:trPr>
          <w:trHeight w:val="515"/>
        </w:trPr>
        <w:tc>
          <w:tcPr>
            <w:tcW w:w="589" w:type="dxa"/>
          </w:tcPr>
          <w:p w14:paraId="384E5CD9" w14:textId="77777777" w:rsidR="00A56912" w:rsidRDefault="00A56912" w:rsidP="00A5691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314CC8B9" w14:textId="77777777" w:rsidR="00A56912" w:rsidRDefault="00A56912" w:rsidP="00A5691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9BD3D84" w14:textId="03372E69" w:rsidR="00A56912" w:rsidRDefault="00A56912" w:rsidP="00A5691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Mohanty, S., </w:t>
            </w:r>
            <w:proofErr w:type="spellStart"/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>Shivanna</w:t>
            </w:r>
            <w:proofErr w:type="spellEnd"/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D.B., Rao, R.S., </w:t>
            </w:r>
            <w:proofErr w:type="spellStart"/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>Astekar</w:t>
            </w:r>
            <w:proofErr w:type="spellEnd"/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M., Chandrashekar, C., Radhakrishnan, R., </w:t>
            </w:r>
            <w:proofErr w:type="spellStart"/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>Sanjeevareddygari</w:t>
            </w:r>
            <w:proofErr w:type="spellEnd"/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S., </w:t>
            </w:r>
            <w:proofErr w:type="spellStart"/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>Kotrashetti</w:t>
            </w:r>
            <w:proofErr w:type="spellEnd"/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V. and Kumar, P., 2023. Building Automation Pipeline for Diagnostic Classification of Sporadic Odontogenic </w:t>
            </w:r>
            <w:proofErr w:type="spellStart"/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>Keratocysts</w:t>
            </w:r>
            <w:proofErr w:type="spellEnd"/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and Non-</w:t>
            </w:r>
            <w:proofErr w:type="spellStart"/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>Keratocysts</w:t>
            </w:r>
            <w:proofErr w:type="spellEnd"/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Using Whole-Slide Images.</w:t>
            </w:r>
            <w:r w:rsidRPr="00FB7634">
              <w:rPr>
                <w:rFonts w:eastAsia="Times New Roman" w:cstheme="minorHAnsi"/>
                <w:i/>
                <w:iCs/>
                <w:sz w:val="24"/>
                <w:szCs w:val="24"/>
                <w:lang w:eastAsia="en-IN"/>
              </w:rPr>
              <w:t xml:space="preserve"> Diagnostics, </w:t>
            </w:r>
            <w:r w:rsidRPr="00FB7634">
              <w:rPr>
                <w:rFonts w:eastAsia="Times New Roman" w:cstheme="minorHAnsi"/>
                <w:sz w:val="24"/>
                <w:szCs w:val="24"/>
                <w:lang w:eastAsia="en-IN"/>
              </w:rPr>
              <w:t>13(21), p.3384.</w:t>
            </w:r>
          </w:p>
        </w:tc>
        <w:tc>
          <w:tcPr>
            <w:tcW w:w="1003" w:type="dxa"/>
          </w:tcPr>
          <w:p w14:paraId="1BEDE8C4" w14:textId="76FC2192" w:rsidR="00A56912" w:rsidRDefault="00A56912" w:rsidP="00A56912">
            <w:pPr>
              <w:rPr>
                <w:rFonts w:cstheme="minorHAnsi"/>
              </w:rPr>
            </w:pPr>
            <w:r>
              <w:t>YES</w:t>
            </w:r>
          </w:p>
        </w:tc>
        <w:tc>
          <w:tcPr>
            <w:tcW w:w="1781" w:type="dxa"/>
          </w:tcPr>
          <w:p w14:paraId="11076BB1" w14:textId="41A0DD6B" w:rsidR="00A56912" w:rsidRDefault="00A56912" w:rsidP="00A56912">
            <w:pPr>
              <w:rPr>
                <w:rFonts w:cstheme="minorHAnsi"/>
              </w:rPr>
            </w:pPr>
            <w:r>
              <w:t>Scopus Q2</w:t>
            </w:r>
          </w:p>
        </w:tc>
        <w:tc>
          <w:tcPr>
            <w:tcW w:w="783" w:type="dxa"/>
          </w:tcPr>
          <w:p w14:paraId="64BB1986" w14:textId="535B3AB2" w:rsidR="00A56912" w:rsidRDefault="00A56912" w:rsidP="00A56912">
            <w:r>
              <w:t>YES</w:t>
            </w:r>
          </w:p>
        </w:tc>
        <w:tc>
          <w:tcPr>
            <w:tcW w:w="890" w:type="dxa"/>
          </w:tcPr>
          <w:p w14:paraId="78CF1AAB" w14:textId="6DE79CEC" w:rsidR="00A56912" w:rsidRDefault="00A56912" w:rsidP="00A56912">
            <w:r>
              <w:t>3.9</w:t>
            </w:r>
          </w:p>
        </w:tc>
        <w:tc>
          <w:tcPr>
            <w:tcW w:w="954" w:type="dxa"/>
          </w:tcPr>
          <w:p w14:paraId="3C3F0F07" w14:textId="697BF6E7" w:rsidR="00A56912" w:rsidRDefault="00A56912" w:rsidP="00A56912">
            <w:r>
              <w:t>NO</w:t>
            </w:r>
          </w:p>
        </w:tc>
        <w:tc>
          <w:tcPr>
            <w:tcW w:w="3018" w:type="dxa"/>
          </w:tcPr>
          <w:p w14:paraId="5A305197" w14:textId="53BBEEC8" w:rsidR="00A56912" w:rsidRDefault="00A56912" w:rsidP="00A56912">
            <w:pPr>
              <w:rPr>
                <w:b/>
                <w:bCs/>
              </w:rPr>
            </w:pPr>
            <w:r w:rsidRPr="009A51C4">
              <w:t>Faculty</w:t>
            </w:r>
            <w:r>
              <w:t xml:space="preserve"> with external faculty</w:t>
            </w:r>
          </w:p>
        </w:tc>
      </w:tr>
      <w:tr w:rsidR="000967EF" w:rsidRPr="003A0720" w14:paraId="18434B3F" w14:textId="77777777" w:rsidTr="00084DCD">
        <w:trPr>
          <w:trHeight w:val="515"/>
        </w:trPr>
        <w:tc>
          <w:tcPr>
            <w:tcW w:w="589" w:type="dxa"/>
          </w:tcPr>
          <w:p w14:paraId="218057E5" w14:textId="6D25BD05" w:rsidR="000967EF" w:rsidRPr="003A0720" w:rsidRDefault="000967EF" w:rsidP="00096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011" w:type="dxa"/>
            <w:vMerge w:val="restart"/>
          </w:tcPr>
          <w:p w14:paraId="53B8A463" w14:textId="5CFF3142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OMFS</w:t>
            </w:r>
          </w:p>
        </w:tc>
        <w:tc>
          <w:tcPr>
            <w:tcW w:w="4231" w:type="dxa"/>
          </w:tcPr>
          <w:p w14:paraId="6D875825" w14:textId="25120683" w:rsidR="000967EF" w:rsidRPr="0086515A" w:rsidRDefault="000967EF" w:rsidP="000967EF">
            <w:pPr>
              <w:rPr>
                <w:rFonts w:cs="Times New Roman"/>
                <w:bCs/>
                <w:sz w:val="24"/>
                <w:szCs w:val="24"/>
              </w:rPr>
            </w:pPr>
            <w:r w:rsidRPr="0086515A">
              <w:rPr>
                <w:rFonts w:cs="Times New Roman"/>
                <w:bCs/>
                <w:sz w:val="24"/>
                <w:szCs w:val="24"/>
              </w:rPr>
              <w:t xml:space="preserve">Kavitha Prasad , Vineeth Kumar K , </w:t>
            </w:r>
            <w:proofErr w:type="spellStart"/>
            <w:r w:rsidRPr="0086515A">
              <w:rPr>
                <w:rFonts w:cs="Times New Roman"/>
                <w:bCs/>
                <w:sz w:val="24"/>
                <w:szCs w:val="24"/>
              </w:rPr>
              <w:t>Rajanikanth</w:t>
            </w:r>
            <w:proofErr w:type="spellEnd"/>
            <w:r w:rsidRPr="0086515A">
              <w:rPr>
                <w:rFonts w:cs="Times New Roman"/>
                <w:bCs/>
                <w:sz w:val="24"/>
                <w:szCs w:val="24"/>
              </w:rPr>
              <w:t xml:space="preserve"> B.R, </w:t>
            </w:r>
            <w:proofErr w:type="spellStart"/>
            <w:r w:rsidRPr="0086515A">
              <w:rPr>
                <w:rFonts w:cs="Times New Roman"/>
                <w:bCs/>
                <w:sz w:val="24"/>
                <w:szCs w:val="24"/>
              </w:rPr>
              <w:t>Parimala</w:t>
            </w:r>
            <w:proofErr w:type="spellEnd"/>
            <w:r w:rsidRPr="0086515A">
              <w:rPr>
                <w:rFonts w:cs="Times New Roman"/>
                <w:bCs/>
                <w:sz w:val="24"/>
                <w:szCs w:val="24"/>
              </w:rPr>
              <w:t xml:space="preserve"> Sagar, K </w:t>
            </w:r>
            <w:proofErr w:type="spellStart"/>
            <w:r w:rsidRPr="0086515A">
              <w:rPr>
                <w:rFonts w:cs="Times New Roman"/>
                <w:bCs/>
                <w:sz w:val="24"/>
                <w:szCs w:val="24"/>
              </w:rPr>
              <w:t>Ranganath</w:t>
            </w:r>
            <w:proofErr w:type="spellEnd"/>
            <w:r w:rsidRPr="0086515A">
              <w:rPr>
                <w:rFonts w:cs="Times New Roman"/>
                <w:bCs/>
                <w:sz w:val="24"/>
                <w:szCs w:val="24"/>
              </w:rPr>
              <w:t xml:space="preserve">.,  2023                                   </w:t>
            </w:r>
            <w:r w:rsidRPr="0086515A">
              <w:rPr>
                <w:rFonts w:cs="Times New Roman"/>
                <w:bCs/>
                <w:sz w:val="24"/>
                <w:szCs w:val="24"/>
              </w:rPr>
              <w:lastRenderedPageBreak/>
              <w:t>Reaffirming the Peripheral Action of Local Anaesthesia (LA): A Prospective Clinical Study. International journal of science and research. May ,Volume 12 issue 5</w:t>
            </w:r>
          </w:p>
        </w:tc>
        <w:tc>
          <w:tcPr>
            <w:tcW w:w="1003" w:type="dxa"/>
          </w:tcPr>
          <w:p w14:paraId="7C4D746E" w14:textId="51A718DD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</w:t>
            </w:r>
          </w:p>
        </w:tc>
        <w:tc>
          <w:tcPr>
            <w:tcW w:w="1781" w:type="dxa"/>
          </w:tcPr>
          <w:p w14:paraId="42789CDE" w14:textId="1271AAE2" w:rsidR="000967EF" w:rsidRPr="003A0720" w:rsidRDefault="000967EF" w:rsidP="00096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2826C2B2" w14:textId="2DB5565A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7207FC87" w14:textId="20BE81A8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376FCD64" w14:textId="4780BE08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57274307" w14:textId="310714FF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All Faculty</w:t>
            </w:r>
          </w:p>
        </w:tc>
      </w:tr>
      <w:tr w:rsidR="000967EF" w:rsidRPr="003A0720" w14:paraId="2233BD65" w14:textId="77777777" w:rsidTr="00084DCD">
        <w:trPr>
          <w:trHeight w:val="515"/>
        </w:trPr>
        <w:tc>
          <w:tcPr>
            <w:tcW w:w="589" w:type="dxa"/>
          </w:tcPr>
          <w:p w14:paraId="72DB9052" w14:textId="77777777" w:rsidR="000967EF" w:rsidRPr="003A0720" w:rsidRDefault="000967EF" w:rsidP="000967E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6C3C8921" w14:textId="77777777" w:rsidR="000967EF" w:rsidRPr="003A0720" w:rsidRDefault="000967EF" w:rsidP="000967E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965B431" w14:textId="7C6A9CC7" w:rsidR="000967EF" w:rsidRPr="0086515A" w:rsidRDefault="000967EF" w:rsidP="000967EF">
            <w:pPr>
              <w:rPr>
                <w:rFonts w:cs="Times New Roman"/>
                <w:bCs/>
                <w:sz w:val="24"/>
                <w:szCs w:val="24"/>
              </w:rPr>
            </w:pPr>
            <w:r w:rsidRPr="0086515A">
              <w:rPr>
                <w:rFonts w:cs="Times New Roman"/>
                <w:bCs/>
                <w:sz w:val="24"/>
                <w:szCs w:val="24"/>
              </w:rPr>
              <w:t xml:space="preserve">Kavitha Prasad,  </w:t>
            </w:r>
            <w:proofErr w:type="spellStart"/>
            <w:r w:rsidRPr="0086515A">
              <w:rPr>
                <w:rFonts w:cs="Times New Roman"/>
                <w:bCs/>
                <w:sz w:val="24"/>
                <w:szCs w:val="24"/>
              </w:rPr>
              <w:t>Sejal</w:t>
            </w:r>
            <w:proofErr w:type="spellEnd"/>
            <w:r w:rsidRPr="0086515A">
              <w:rPr>
                <w:rFonts w:cs="Times New Roman"/>
                <w:bCs/>
                <w:sz w:val="24"/>
                <w:szCs w:val="24"/>
              </w:rPr>
              <w:t xml:space="preserve"> K M, Tanmoy Ghosh, </w:t>
            </w:r>
            <w:proofErr w:type="spellStart"/>
            <w:r w:rsidRPr="0086515A">
              <w:rPr>
                <w:rFonts w:cs="Times New Roman"/>
                <w:bCs/>
                <w:sz w:val="24"/>
                <w:szCs w:val="24"/>
              </w:rPr>
              <w:t>Sanah</w:t>
            </w:r>
            <w:proofErr w:type="spellEnd"/>
            <w:r w:rsidRPr="0086515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515A">
              <w:rPr>
                <w:rFonts w:cs="Times New Roman"/>
                <w:bCs/>
                <w:sz w:val="24"/>
                <w:szCs w:val="24"/>
              </w:rPr>
              <w:t>Tazeen</w:t>
            </w:r>
            <w:proofErr w:type="spellEnd"/>
            <w:r w:rsidRPr="0086515A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6515A">
              <w:rPr>
                <w:rFonts w:cs="Times New Roman"/>
                <w:bCs/>
                <w:sz w:val="24"/>
                <w:szCs w:val="24"/>
              </w:rPr>
              <w:t>Prathibha</w:t>
            </w:r>
            <w:proofErr w:type="spellEnd"/>
            <w:r w:rsidRPr="0086515A">
              <w:rPr>
                <w:rFonts w:cs="Times New Roman"/>
                <w:bCs/>
                <w:sz w:val="24"/>
                <w:szCs w:val="24"/>
              </w:rPr>
              <w:t xml:space="preserve"> G. 2023. Fabrication of a Novel Aloe Vera (AV) and Polyvinyl Alcohol (PVA) as Dressing for Facial Abrasion. International journal of innovative  Science and research technology. June  </w:t>
            </w:r>
            <w:r w:rsidRPr="0086515A">
              <w:rPr>
                <w:bCs/>
                <w:sz w:val="24"/>
                <w:szCs w:val="24"/>
              </w:rPr>
              <w:t>Volume 8, Issue 6, 577-87</w:t>
            </w:r>
          </w:p>
        </w:tc>
        <w:tc>
          <w:tcPr>
            <w:tcW w:w="1003" w:type="dxa"/>
          </w:tcPr>
          <w:p w14:paraId="7DBEA9B8" w14:textId="6E9C66F2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1681E398" w14:textId="0126319A" w:rsidR="000967EF" w:rsidRPr="003A0720" w:rsidRDefault="000967EF" w:rsidP="00096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1004F97E" w14:textId="314992C6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29E3FDE3" w14:textId="6E9087C0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2A8FC043" w14:textId="39B4C394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7CF992A" w14:textId="66BFD982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All Faculty</w:t>
            </w:r>
          </w:p>
        </w:tc>
      </w:tr>
      <w:tr w:rsidR="000967EF" w:rsidRPr="003A0720" w14:paraId="7808BE3C" w14:textId="77777777" w:rsidTr="00084DCD">
        <w:trPr>
          <w:trHeight w:val="515"/>
        </w:trPr>
        <w:tc>
          <w:tcPr>
            <w:tcW w:w="589" w:type="dxa"/>
          </w:tcPr>
          <w:p w14:paraId="182BA683" w14:textId="77777777" w:rsidR="000967EF" w:rsidRPr="003A0720" w:rsidRDefault="000967EF" w:rsidP="000967E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5D9FBDAA" w14:textId="77777777" w:rsidR="000967EF" w:rsidRPr="003A0720" w:rsidRDefault="000967EF" w:rsidP="000967E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43C06F0" w14:textId="2D13045B" w:rsidR="000967EF" w:rsidRPr="0086515A" w:rsidRDefault="000967EF" w:rsidP="000967EF">
            <w:pPr>
              <w:rPr>
                <w:rFonts w:cs="Times New Roman"/>
                <w:bCs/>
                <w:sz w:val="24"/>
                <w:szCs w:val="24"/>
              </w:rPr>
            </w:pPr>
            <w:r w:rsidRPr="0086515A">
              <w:rPr>
                <w:bCs/>
                <w:sz w:val="24"/>
                <w:szCs w:val="24"/>
              </w:rPr>
              <w:t xml:space="preserve">Vineeth Kumar K, Kavitha Prasad, </w:t>
            </w:r>
            <w:proofErr w:type="spellStart"/>
            <w:r w:rsidRPr="0086515A">
              <w:rPr>
                <w:bCs/>
                <w:sz w:val="24"/>
                <w:szCs w:val="24"/>
              </w:rPr>
              <w:t>Rajanikanth</w:t>
            </w:r>
            <w:proofErr w:type="spellEnd"/>
            <w:r w:rsidRPr="0086515A">
              <w:rPr>
                <w:bCs/>
                <w:sz w:val="24"/>
                <w:szCs w:val="24"/>
              </w:rPr>
              <w:t xml:space="preserve"> B R, K </w:t>
            </w:r>
            <w:proofErr w:type="spellStart"/>
            <w:r w:rsidRPr="0086515A">
              <w:rPr>
                <w:bCs/>
                <w:sz w:val="24"/>
                <w:szCs w:val="24"/>
              </w:rPr>
              <w:t>Ranganath</w:t>
            </w:r>
            <w:proofErr w:type="spellEnd"/>
            <w:r w:rsidRPr="0086515A">
              <w:rPr>
                <w:bCs/>
                <w:sz w:val="24"/>
                <w:szCs w:val="24"/>
              </w:rPr>
              <w:t xml:space="preserve"> ,</w:t>
            </w:r>
            <w:proofErr w:type="spellStart"/>
            <w:r w:rsidRPr="0086515A">
              <w:rPr>
                <w:bCs/>
                <w:sz w:val="24"/>
                <w:szCs w:val="24"/>
              </w:rPr>
              <w:t>Naksha</w:t>
            </w:r>
            <w:proofErr w:type="spellEnd"/>
            <w:r w:rsidRPr="0086515A">
              <w:rPr>
                <w:bCs/>
                <w:sz w:val="24"/>
                <w:szCs w:val="24"/>
              </w:rPr>
              <w:t xml:space="preserve"> S and </w:t>
            </w:r>
            <w:proofErr w:type="spellStart"/>
            <w:r w:rsidRPr="0086515A">
              <w:rPr>
                <w:bCs/>
                <w:sz w:val="24"/>
                <w:szCs w:val="24"/>
              </w:rPr>
              <w:t>Hithyshi</w:t>
            </w:r>
            <w:proofErr w:type="spellEnd"/>
            <w:r w:rsidRPr="0086515A">
              <w:rPr>
                <w:bCs/>
                <w:sz w:val="24"/>
                <w:szCs w:val="24"/>
              </w:rPr>
              <w:t xml:space="preserve"> G K. 2023. </w:t>
            </w:r>
            <w:r w:rsidRPr="0086515A">
              <w:rPr>
                <w:rFonts w:cs="Times New Roman"/>
                <w:bCs/>
                <w:sz w:val="24"/>
                <w:szCs w:val="24"/>
              </w:rPr>
              <w:t xml:space="preserve">Aneurysmal Bone Cyst of Mandibular Condylar Neck and Its Management – A Fortuitous Appearance in Pediatric Population . Acta </w:t>
            </w:r>
            <w:proofErr w:type="spellStart"/>
            <w:r w:rsidRPr="0086515A">
              <w:rPr>
                <w:rFonts w:cs="Times New Roman"/>
                <w:bCs/>
                <w:sz w:val="24"/>
                <w:szCs w:val="24"/>
              </w:rPr>
              <w:t>Scientifica</w:t>
            </w:r>
            <w:proofErr w:type="spellEnd"/>
            <w:r w:rsidRPr="0086515A">
              <w:rPr>
                <w:rFonts w:cs="Times New Roman"/>
                <w:bCs/>
                <w:sz w:val="24"/>
                <w:szCs w:val="24"/>
              </w:rPr>
              <w:t xml:space="preserve"> otolaryngology .  June Volume 5 issue 6</w:t>
            </w:r>
          </w:p>
        </w:tc>
        <w:tc>
          <w:tcPr>
            <w:tcW w:w="1003" w:type="dxa"/>
          </w:tcPr>
          <w:p w14:paraId="1DE2F969" w14:textId="311B4FE7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2786EAEB" w14:textId="7FD51879" w:rsidR="000967EF" w:rsidRPr="003A0720" w:rsidRDefault="000967EF" w:rsidP="00096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7DEEEE91" w14:textId="2D18D135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52432F87" w14:textId="2C1EA80F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76833BCF" w14:textId="2F221E11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239A7860" w14:textId="4AE84B1E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All Faculty</w:t>
            </w:r>
          </w:p>
        </w:tc>
      </w:tr>
      <w:tr w:rsidR="000967EF" w:rsidRPr="003A0720" w14:paraId="63E7B100" w14:textId="77777777" w:rsidTr="00084DCD">
        <w:trPr>
          <w:trHeight w:val="515"/>
        </w:trPr>
        <w:tc>
          <w:tcPr>
            <w:tcW w:w="589" w:type="dxa"/>
          </w:tcPr>
          <w:p w14:paraId="608A95F5" w14:textId="77777777" w:rsidR="000967EF" w:rsidRPr="003A0720" w:rsidRDefault="000967EF" w:rsidP="00A33C80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3FA7B42B" w14:textId="77777777" w:rsidR="000967EF" w:rsidRPr="003A0720" w:rsidRDefault="000967EF" w:rsidP="00A33C80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FB79922" w14:textId="3B7BD419" w:rsidR="000967EF" w:rsidRPr="0086515A" w:rsidRDefault="000967EF" w:rsidP="000967E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86515A">
              <w:rPr>
                <w:rFonts w:cs="Times New Roman"/>
                <w:bCs/>
                <w:sz w:val="24"/>
                <w:szCs w:val="24"/>
              </w:rPr>
              <w:t>Rajanikanth</w:t>
            </w:r>
            <w:proofErr w:type="spellEnd"/>
            <w:r w:rsidRPr="0086515A">
              <w:rPr>
                <w:rFonts w:cs="Times New Roman"/>
                <w:bCs/>
                <w:sz w:val="24"/>
                <w:szCs w:val="24"/>
              </w:rPr>
              <w:t xml:space="preserve"> B R, Kavitha Prasad. 2023. Optimizing bone regeneration akin to farmers cultivation A narrative review. </w:t>
            </w:r>
            <w:r w:rsidRPr="0086515A">
              <w:rPr>
                <w:rFonts w:cs="Times New Roman"/>
                <w:bCs/>
                <w:sz w:val="24"/>
                <w:szCs w:val="24"/>
              </w:rPr>
              <w:lastRenderedPageBreak/>
              <w:t>Journal of Oral Surgery Oral Pathology and Oral Medicine . Volume 18, issue 1.</w:t>
            </w:r>
          </w:p>
        </w:tc>
        <w:tc>
          <w:tcPr>
            <w:tcW w:w="1003" w:type="dxa"/>
          </w:tcPr>
          <w:p w14:paraId="617A7A14" w14:textId="783E9E1C" w:rsidR="000967EF" w:rsidRPr="003A0720" w:rsidRDefault="000967EF" w:rsidP="00A33C8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</w:t>
            </w:r>
          </w:p>
        </w:tc>
        <w:tc>
          <w:tcPr>
            <w:tcW w:w="1781" w:type="dxa"/>
          </w:tcPr>
          <w:p w14:paraId="32AA2B1B" w14:textId="04096774" w:rsidR="000967EF" w:rsidRPr="003A0720" w:rsidRDefault="000967EF" w:rsidP="00A33C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45447C7B" w14:textId="60E2277A" w:rsidR="000967EF" w:rsidRPr="003A0720" w:rsidRDefault="000967EF" w:rsidP="00A33C8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6F685412" w14:textId="35A1B161" w:rsidR="000967EF" w:rsidRPr="003A0720" w:rsidRDefault="000967EF" w:rsidP="00A33C8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106E2B21" w14:textId="0C6A6291" w:rsidR="000967EF" w:rsidRPr="003A0720" w:rsidRDefault="000967EF" w:rsidP="00A33C8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D795CBD" w14:textId="7FA2BA7F" w:rsidR="000967EF" w:rsidRPr="003A0720" w:rsidRDefault="000967EF" w:rsidP="00A33C80">
            <w:pPr>
              <w:rPr>
                <w:rFonts w:cstheme="minorHAnsi"/>
              </w:rPr>
            </w:pPr>
            <w:r>
              <w:rPr>
                <w:rFonts w:cstheme="minorHAnsi"/>
              </w:rPr>
              <w:t>All Faculty</w:t>
            </w:r>
          </w:p>
        </w:tc>
      </w:tr>
      <w:tr w:rsidR="000967EF" w:rsidRPr="003A0720" w14:paraId="579E51B2" w14:textId="77777777" w:rsidTr="00084DCD">
        <w:trPr>
          <w:trHeight w:val="515"/>
        </w:trPr>
        <w:tc>
          <w:tcPr>
            <w:tcW w:w="589" w:type="dxa"/>
          </w:tcPr>
          <w:p w14:paraId="12B0A14C" w14:textId="77777777" w:rsidR="000967EF" w:rsidRPr="003A0720" w:rsidRDefault="000967EF" w:rsidP="000967E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D28AE9D" w14:textId="77777777" w:rsidR="000967EF" w:rsidRPr="003A0720" w:rsidRDefault="000967EF" w:rsidP="000967E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CBF73E2" w14:textId="3470654B" w:rsidR="000967EF" w:rsidRPr="003A0720" w:rsidRDefault="000967EF" w:rsidP="000967EF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t xml:space="preserve">Sushant </w:t>
            </w:r>
            <w:proofErr w:type="spellStart"/>
            <w:r>
              <w:t>Belsare</w:t>
            </w:r>
            <w:proofErr w:type="spellEnd"/>
            <w:r>
              <w:t xml:space="preserve">, Kavitha Prasad, Akash Rajaram, Arvind </w:t>
            </w:r>
            <w:proofErr w:type="spellStart"/>
            <w:r>
              <w:t>Kapali</w:t>
            </w:r>
            <w:proofErr w:type="spellEnd"/>
            <w:r>
              <w:t xml:space="preserve">, Harish, K </w:t>
            </w:r>
            <w:proofErr w:type="spellStart"/>
            <w:r>
              <w:t>Ranganath</w:t>
            </w:r>
            <w:proofErr w:type="spellEnd"/>
            <w:r>
              <w:t xml:space="preserve">. 2023. Evaluation of </w:t>
            </w:r>
            <w:proofErr w:type="spellStart"/>
            <w:r>
              <w:t>tumor</w:t>
            </w:r>
            <w:proofErr w:type="spellEnd"/>
            <w:r>
              <w:t xml:space="preserve"> volume and </w:t>
            </w:r>
            <w:proofErr w:type="spellStart"/>
            <w:r>
              <w:t>tumor</w:t>
            </w:r>
            <w:proofErr w:type="spellEnd"/>
            <w:r>
              <w:t xml:space="preserve"> </w:t>
            </w:r>
            <w:proofErr w:type="spellStart"/>
            <w:r>
              <w:t>thicknessas</w:t>
            </w:r>
            <w:proofErr w:type="spellEnd"/>
            <w:r>
              <w:t xml:space="preserve"> determinants of lymph node metastasis in oral squamous cell carcinoma. Research Journal of Pharmaceutical, Biological and chemical Sciences. July to Aug 14(4) Pg 25-32</w:t>
            </w:r>
          </w:p>
        </w:tc>
        <w:tc>
          <w:tcPr>
            <w:tcW w:w="1003" w:type="dxa"/>
          </w:tcPr>
          <w:p w14:paraId="17CD7D72" w14:textId="236787F5" w:rsidR="000967EF" w:rsidRPr="003A0720" w:rsidRDefault="000967EF" w:rsidP="000967EF">
            <w:pPr>
              <w:rPr>
                <w:rFonts w:cstheme="minorHAnsi"/>
              </w:rPr>
            </w:pPr>
            <w:r>
              <w:t>No</w:t>
            </w:r>
          </w:p>
        </w:tc>
        <w:tc>
          <w:tcPr>
            <w:tcW w:w="1781" w:type="dxa"/>
          </w:tcPr>
          <w:p w14:paraId="415237CF" w14:textId="2C1C5069" w:rsidR="000967EF" w:rsidRPr="003A0720" w:rsidRDefault="000967EF" w:rsidP="000967EF">
            <w:pPr>
              <w:jc w:val="center"/>
              <w:rPr>
                <w:rFonts w:cstheme="minorHAnsi"/>
              </w:rPr>
            </w:pPr>
            <w:r>
              <w:t xml:space="preserve">No </w:t>
            </w:r>
          </w:p>
        </w:tc>
        <w:tc>
          <w:tcPr>
            <w:tcW w:w="783" w:type="dxa"/>
          </w:tcPr>
          <w:p w14:paraId="0A33DF49" w14:textId="46D6B4F1" w:rsidR="000967EF" w:rsidRPr="003A0720" w:rsidRDefault="000967EF" w:rsidP="000967EF">
            <w:pPr>
              <w:rPr>
                <w:rFonts w:cstheme="minorHAnsi"/>
              </w:rPr>
            </w:pPr>
            <w:r>
              <w:t>No</w:t>
            </w:r>
          </w:p>
        </w:tc>
        <w:tc>
          <w:tcPr>
            <w:tcW w:w="890" w:type="dxa"/>
          </w:tcPr>
          <w:p w14:paraId="35E84EF4" w14:textId="77777777" w:rsidR="000967EF" w:rsidRDefault="000967EF" w:rsidP="000967EF">
            <w:r>
              <w:t>Yes</w:t>
            </w:r>
          </w:p>
          <w:p w14:paraId="0309BA42" w14:textId="2C29B278" w:rsidR="000967EF" w:rsidRPr="003A0720" w:rsidRDefault="000967EF" w:rsidP="000967EF">
            <w:pPr>
              <w:rPr>
                <w:rFonts w:cstheme="minorHAnsi"/>
              </w:rPr>
            </w:pPr>
            <w:r>
              <w:t>0.35</w:t>
            </w:r>
          </w:p>
        </w:tc>
        <w:tc>
          <w:tcPr>
            <w:tcW w:w="954" w:type="dxa"/>
          </w:tcPr>
          <w:p w14:paraId="273B1513" w14:textId="56B0788A" w:rsidR="000967EF" w:rsidRPr="003A0720" w:rsidRDefault="000967EF" w:rsidP="000967EF">
            <w:pPr>
              <w:rPr>
                <w:rFonts w:cstheme="minorHAnsi"/>
              </w:rPr>
            </w:pPr>
            <w:r>
              <w:t>No</w:t>
            </w:r>
          </w:p>
        </w:tc>
        <w:tc>
          <w:tcPr>
            <w:tcW w:w="3018" w:type="dxa"/>
          </w:tcPr>
          <w:p w14:paraId="20A43BFE" w14:textId="4B0D22E5" w:rsidR="000967EF" w:rsidRPr="003A0720" w:rsidRDefault="000967EF" w:rsidP="000967EF">
            <w:pPr>
              <w:rPr>
                <w:rFonts w:cstheme="minorHAnsi"/>
              </w:rPr>
            </w:pPr>
            <w:r>
              <w:t>All Faculty</w:t>
            </w:r>
          </w:p>
        </w:tc>
      </w:tr>
      <w:tr w:rsidR="000967EF" w:rsidRPr="003A0720" w14:paraId="0F75FBA3" w14:textId="77777777" w:rsidTr="00084DCD">
        <w:trPr>
          <w:trHeight w:val="515"/>
        </w:trPr>
        <w:tc>
          <w:tcPr>
            <w:tcW w:w="589" w:type="dxa"/>
          </w:tcPr>
          <w:p w14:paraId="27BD0D20" w14:textId="77777777" w:rsidR="000967EF" w:rsidRPr="003A0720" w:rsidRDefault="000967EF" w:rsidP="000967E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AAD51BB" w14:textId="77777777" w:rsidR="000967EF" w:rsidRPr="003A0720" w:rsidRDefault="000967EF" w:rsidP="000967E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062522E4" w14:textId="5D15B1AC" w:rsidR="000967EF" w:rsidRPr="003A0720" w:rsidRDefault="000967EF" w:rsidP="000967EF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>
              <w:t>Rajanikanth</w:t>
            </w:r>
            <w:proofErr w:type="spellEnd"/>
            <w:r>
              <w:t xml:space="preserve"> B R, </w:t>
            </w:r>
            <w:proofErr w:type="spellStart"/>
            <w:r>
              <w:t>Mrunalini</w:t>
            </w:r>
            <w:proofErr w:type="spellEnd"/>
            <w:r>
              <w:t xml:space="preserve"> Gunasekaran, </w:t>
            </w:r>
            <w:proofErr w:type="spellStart"/>
            <w:r>
              <w:t>Domnic</w:t>
            </w:r>
            <w:proofErr w:type="spellEnd"/>
            <w:r>
              <w:t xml:space="preserve"> Augustine, Sowmya, Kavitha Prasad.2023. </w:t>
            </w:r>
            <w:proofErr w:type="spellStart"/>
            <w:r>
              <w:t>Coexistance</w:t>
            </w:r>
            <w:proofErr w:type="spellEnd"/>
            <w:r>
              <w:t xml:space="preserve"> of Odontogenic Myxoma and Fragile X Syndrome: A rare report and review of management considerations. World Journal of Dentistry. Vol 14, Issue 5, Pg 466-470</w:t>
            </w:r>
          </w:p>
        </w:tc>
        <w:tc>
          <w:tcPr>
            <w:tcW w:w="1003" w:type="dxa"/>
          </w:tcPr>
          <w:p w14:paraId="59B841E5" w14:textId="244DF87D" w:rsidR="000967EF" w:rsidRPr="003A0720" w:rsidRDefault="000967EF" w:rsidP="000967EF">
            <w:pPr>
              <w:rPr>
                <w:rFonts w:cstheme="minorHAnsi"/>
              </w:rPr>
            </w:pPr>
            <w:r>
              <w:t>No</w:t>
            </w:r>
          </w:p>
        </w:tc>
        <w:tc>
          <w:tcPr>
            <w:tcW w:w="1781" w:type="dxa"/>
          </w:tcPr>
          <w:p w14:paraId="0CC4C975" w14:textId="5E42A78E" w:rsidR="000967EF" w:rsidRPr="003A0720" w:rsidRDefault="000967EF" w:rsidP="000967EF">
            <w:pPr>
              <w:jc w:val="center"/>
              <w:rPr>
                <w:rFonts w:cstheme="minorHAnsi"/>
              </w:rPr>
            </w:pPr>
            <w:r>
              <w:t>Yes , Q4</w:t>
            </w:r>
          </w:p>
        </w:tc>
        <w:tc>
          <w:tcPr>
            <w:tcW w:w="783" w:type="dxa"/>
          </w:tcPr>
          <w:p w14:paraId="74714A1E" w14:textId="3E22CBC0" w:rsidR="000967EF" w:rsidRPr="003A0720" w:rsidRDefault="000967EF" w:rsidP="000967EF">
            <w:pPr>
              <w:rPr>
                <w:rFonts w:cstheme="minorHAnsi"/>
              </w:rPr>
            </w:pPr>
            <w:r>
              <w:t>No</w:t>
            </w:r>
          </w:p>
        </w:tc>
        <w:tc>
          <w:tcPr>
            <w:tcW w:w="890" w:type="dxa"/>
          </w:tcPr>
          <w:p w14:paraId="39355F14" w14:textId="57EF646F" w:rsidR="000967EF" w:rsidRPr="003A0720" w:rsidRDefault="000967EF" w:rsidP="000967EF">
            <w:pPr>
              <w:rPr>
                <w:rFonts w:cstheme="minorHAnsi"/>
              </w:rPr>
            </w:pPr>
            <w:r>
              <w:t xml:space="preserve"> Yes 0.132 </w:t>
            </w:r>
          </w:p>
        </w:tc>
        <w:tc>
          <w:tcPr>
            <w:tcW w:w="954" w:type="dxa"/>
          </w:tcPr>
          <w:p w14:paraId="4F8D579C" w14:textId="15ECCE71" w:rsidR="000967EF" w:rsidRPr="003A0720" w:rsidRDefault="000967EF" w:rsidP="000967EF">
            <w:pPr>
              <w:rPr>
                <w:rFonts w:cstheme="minorHAnsi"/>
              </w:rPr>
            </w:pPr>
            <w:r>
              <w:t xml:space="preserve">No </w:t>
            </w:r>
          </w:p>
        </w:tc>
        <w:tc>
          <w:tcPr>
            <w:tcW w:w="3018" w:type="dxa"/>
          </w:tcPr>
          <w:p w14:paraId="7C66D13D" w14:textId="38B88FE8" w:rsidR="000967EF" w:rsidRPr="003A0720" w:rsidRDefault="000967EF" w:rsidP="000967EF">
            <w:pPr>
              <w:rPr>
                <w:rFonts w:cstheme="minorHAnsi"/>
              </w:rPr>
            </w:pPr>
            <w:r>
              <w:t>All Faculty</w:t>
            </w:r>
          </w:p>
        </w:tc>
      </w:tr>
      <w:tr w:rsidR="000967EF" w:rsidRPr="003A0720" w14:paraId="167171D3" w14:textId="77777777" w:rsidTr="00084DCD">
        <w:trPr>
          <w:trHeight w:val="515"/>
        </w:trPr>
        <w:tc>
          <w:tcPr>
            <w:tcW w:w="589" w:type="dxa"/>
          </w:tcPr>
          <w:p w14:paraId="478969D4" w14:textId="77777777" w:rsidR="000967EF" w:rsidRPr="003A0720" w:rsidRDefault="000967EF" w:rsidP="000967E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7DADD4B6" w14:textId="77777777" w:rsidR="000967EF" w:rsidRPr="003A0720" w:rsidRDefault="000967EF" w:rsidP="000967E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0C63D23" w14:textId="309844A8" w:rsidR="000967EF" w:rsidRPr="003A0720" w:rsidRDefault="000967EF" w:rsidP="000967EF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t xml:space="preserve">B R </w:t>
            </w:r>
            <w:proofErr w:type="spellStart"/>
            <w:r>
              <w:t>Rajanikanth</w:t>
            </w:r>
            <w:proofErr w:type="spellEnd"/>
            <w:r>
              <w:t xml:space="preserve">, </w:t>
            </w:r>
            <w:proofErr w:type="spellStart"/>
            <w:r>
              <w:t>Akshatha</w:t>
            </w:r>
            <w:proofErr w:type="spellEnd"/>
            <w:r>
              <w:t xml:space="preserve"> </w:t>
            </w:r>
            <w:proofErr w:type="spellStart"/>
            <w:r>
              <w:t>Kotharkar</w:t>
            </w:r>
            <w:proofErr w:type="spellEnd"/>
            <w:r>
              <w:t xml:space="preserve">, Kavitha Prasad. 2023. A window to protect the facial nerve: A Descriptive Cadaveric Study. Journal of Maxillofacial oral Surgery. </w:t>
            </w:r>
          </w:p>
        </w:tc>
        <w:tc>
          <w:tcPr>
            <w:tcW w:w="1003" w:type="dxa"/>
          </w:tcPr>
          <w:p w14:paraId="2024144D" w14:textId="5C8EB6AC" w:rsidR="000967EF" w:rsidRPr="003A0720" w:rsidRDefault="000967EF" w:rsidP="000967EF">
            <w:pPr>
              <w:rPr>
                <w:rFonts w:cstheme="minorHAnsi"/>
              </w:rPr>
            </w:pPr>
            <w:r>
              <w:t>Yes</w:t>
            </w:r>
          </w:p>
        </w:tc>
        <w:tc>
          <w:tcPr>
            <w:tcW w:w="1781" w:type="dxa"/>
          </w:tcPr>
          <w:p w14:paraId="232B845F" w14:textId="6A02D5EC" w:rsidR="000967EF" w:rsidRPr="003A0720" w:rsidRDefault="000967EF" w:rsidP="000967EF">
            <w:pPr>
              <w:jc w:val="center"/>
              <w:rPr>
                <w:rFonts w:cstheme="minorHAnsi"/>
              </w:rPr>
            </w:pPr>
            <w:r>
              <w:t>Yes , Q3</w:t>
            </w:r>
          </w:p>
        </w:tc>
        <w:tc>
          <w:tcPr>
            <w:tcW w:w="783" w:type="dxa"/>
          </w:tcPr>
          <w:p w14:paraId="57820568" w14:textId="09D5BF17" w:rsidR="000967EF" w:rsidRPr="003A0720" w:rsidRDefault="000967EF" w:rsidP="000967EF">
            <w:pPr>
              <w:rPr>
                <w:rFonts w:cstheme="minorHAnsi"/>
              </w:rPr>
            </w:pPr>
            <w:r>
              <w:t>YES</w:t>
            </w:r>
          </w:p>
        </w:tc>
        <w:tc>
          <w:tcPr>
            <w:tcW w:w="890" w:type="dxa"/>
          </w:tcPr>
          <w:p w14:paraId="68108E99" w14:textId="77777777" w:rsidR="000967EF" w:rsidRDefault="000967EF" w:rsidP="000967EF">
            <w:r>
              <w:t>Yes</w:t>
            </w:r>
          </w:p>
          <w:p w14:paraId="321638E7" w14:textId="5E3B7B17" w:rsidR="000967EF" w:rsidRPr="003A0720" w:rsidRDefault="000967EF" w:rsidP="000967EF">
            <w:pPr>
              <w:rPr>
                <w:rFonts w:cstheme="minorHAnsi"/>
              </w:rPr>
            </w:pPr>
            <w:r>
              <w:t>1.31</w:t>
            </w:r>
          </w:p>
        </w:tc>
        <w:tc>
          <w:tcPr>
            <w:tcW w:w="954" w:type="dxa"/>
          </w:tcPr>
          <w:p w14:paraId="1991D2C2" w14:textId="2AEE16B2" w:rsidR="000967EF" w:rsidRPr="003A0720" w:rsidRDefault="000967EF" w:rsidP="000967EF">
            <w:pPr>
              <w:rPr>
                <w:rFonts w:cstheme="minorHAnsi"/>
              </w:rPr>
            </w:pPr>
            <w:r>
              <w:t xml:space="preserve">No </w:t>
            </w:r>
          </w:p>
        </w:tc>
        <w:tc>
          <w:tcPr>
            <w:tcW w:w="3018" w:type="dxa"/>
          </w:tcPr>
          <w:p w14:paraId="0A4F11FB" w14:textId="0AE96F60" w:rsidR="000967EF" w:rsidRPr="003A0720" w:rsidRDefault="000967EF" w:rsidP="000967EF">
            <w:pPr>
              <w:rPr>
                <w:rFonts w:cstheme="minorHAnsi"/>
              </w:rPr>
            </w:pPr>
            <w:r>
              <w:t xml:space="preserve"> All faculty </w:t>
            </w:r>
          </w:p>
        </w:tc>
      </w:tr>
      <w:tr w:rsidR="000967EF" w:rsidRPr="003A0720" w14:paraId="56507E70" w14:textId="77777777" w:rsidTr="00084DCD">
        <w:trPr>
          <w:trHeight w:val="515"/>
        </w:trPr>
        <w:tc>
          <w:tcPr>
            <w:tcW w:w="589" w:type="dxa"/>
          </w:tcPr>
          <w:p w14:paraId="051E5130" w14:textId="77777777" w:rsidR="000967EF" w:rsidRPr="003A0720" w:rsidRDefault="000967EF" w:rsidP="000967E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771D47A5" w14:textId="77777777" w:rsidR="000967EF" w:rsidRPr="003A0720" w:rsidRDefault="000967EF" w:rsidP="000967E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9528166" w14:textId="6C94341F" w:rsidR="000967EF" w:rsidRPr="003A0720" w:rsidRDefault="000967EF" w:rsidP="000967EF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>
              <w:t>Sejal</w:t>
            </w:r>
            <w:proofErr w:type="spellEnd"/>
            <w:r>
              <w:t xml:space="preserve"> </w:t>
            </w:r>
            <w:proofErr w:type="spellStart"/>
            <w:r>
              <w:t>Kumarpal</w:t>
            </w:r>
            <w:proofErr w:type="spellEnd"/>
            <w:r>
              <w:t xml:space="preserve"> </w:t>
            </w:r>
            <w:proofErr w:type="spellStart"/>
            <w:r>
              <w:t>Munoyath</w:t>
            </w:r>
            <w:proofErr w:type="spellEnd"/>
            <w:r>
              <w:t xml:space="preserve">, Kavitha Prasad, K Ranganath.2023. Comparative efficacy of amoxicillin </w:t>
            </w:r>
            <w:proofErr w:type="spellStart"/>
            <w:r>
              <w:t>clavulnate</w:t>
            </w:r>
            <w:proofErr w:type="spellEnd"/>
            <w:r>
              <w:t xml:space="preserve"> and clindamycin in Management of resistant orofacial infection. Randomized clinical trial. International Journal of Innovative science and research Technology.  May Vol 8 Issue 5, Pg 3739-45</w:t>
            </w:r>
          </w:p>
        </w:tc>
        <w:tc>
          <w:tcPr>
            <w:tcW w:w="1003" w:type="dxa"/>
          </w:tcPr>
          <w:p w14:paraId="2D3AF4A8" w14:textId="4ED98D31" w:rsidR="000967EF" w:rsidRPr="003A0720" w:rsidRDefault="000967EF" w:rsidP="000967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49C89943" w14:textId="05730FCE" w:rsidR="000967EF" w:rsidRPr="003A0720" w:rsidRDefault="000967EF" w:rsidP="000967EF">
            <w:pPr>
              <w:jc w:val="center"/>
              <w:rPr>
                <w:rFonts w:cstheme="minorHAnsi"/>
              </w:rPr>
            </w:pPr>
            <w:r>
              <w:t xml:space="preserve">No </w:t>
            </w:r>
          </w:p>
        </w:tc>
        <w:tc>
          <w:tcPr>
            <w:tcW w:w="783" w:type="dxa"/>
          </w:tcPr>
          <w:p w14:paraId="2FAC7D14" w14:textId="2A321739" w:rsidR="000967EF" w:rsidRPr="003A0720" w:rsidRDefault="000967EF" w:rsidP="000967EF">
            <w:pPr>
              <w:rPr>
                <w:rFonts w:cstheme="minorHAnsi"/>
              </w:rPr>
            </w:pPr>
            <w:r>
              <w:t xml:space="preserve">No </w:t>
            </w:r>
          </w:p>
        </w:tc>
        <w:tc>
          <w:tcPr>
            <w:tcW w:w="890" w:type="dxa"/>
          </w:tcPr>
          <w:p w14:paraId="074724A9" w14:textId="5F73A48E" w:rsidR="000967EF" w:rsidRPr="003A0720" w:rsidRDefault="000967EF" w:rsidP="000967EF">
            <w:pPr>
              <w:rPr>
                <w:rFonts w:cstheme="minorHAnsi"/>
              </w:rPr>
            </w:pPr>
            <w:r>
              <w:t>7.176</w:t>
            </w:r>
          </w:p>
        </w:tc>
        <w:tc>
          <w:tcPr>
            <w:tcW w:w="954" w:type="dxa"/>
          </w:tcPr>
          <w:p w14:paraId="4F562A4E" w14:textId="727CB69F" w:rsidR="000967EF" w:rsidRPr="003A0720" w:rsidRDefault="000967EF" w:rsidP="000967EF">
            <w:pPr>
              <w:rPr>
                <w:rFonts w:cstheme="minorHAnsi"/>
              </w:rPr>
            </w:pPr>
            <w:r>
              <w:t>yes</w:t>
            </w:r>
          </w:p>
        </w:tc>
        <w:tc>
          <w:tcPr>
            <w:tcW w:w="3018" w:type="dxa"/>
          </w:tcPr>
          <w:p w14:paraId="37A1D40B" w14:textId="3576E634" w:rsidR="000967EF" w:rsidRPr="003A0720" w:rsidRDefault="000967EF" w:rsidP="000967EF">
            <w:pPr>
              <w:rPr>
                <w:rFonts w:cstheme="minorHAnsi"/>
              </w:rPr>
            </w:pPr>
            <w:r>
              <w:t>All faculty</w:t>
            </w:r>
          </w:p>
        </w:tc>
      </w:tr>
    </w:tbl>
    <w:p w14:paraId="20600621" w14:textId="77777777" w:rsidR="00CB10BC" w:rsidRPr="003A0720" w:rsidRDefault="00CB10BC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504"/>
        <w:tblW w:w="15260" w:type="dxa"/>
        <w:tblLook w:val="04A0" w:firstRow="1" w:lastRow="0" w:firstColumn="1" w:lastColumn="0" w:noHBand="0" w:noVBand="1"/>
      </w:tblPr>
      <w:tblGrid>
        <w:gridCol w:w="589"/>
        <w:gridCol w:w="2011"/>
        <w:gridCol w:w="4231"/>
        <w:gridCol w:w="1003"/>
        <w:gridCol w:w="1781"/>
        <w:gridCol w:w="783"/>
        <w:gridCol w:w="890"/>
        <w:gridCol w:w="954"/>
        <w:gridCol w:w="3018"/>
      </w:tblGrid>
      <w:tr w:rsidR="00773352" w:rsidRPr="003A0720" w14:paraId="285F2BA2" w14:textId="77777777" w:rsidTr="00084DCD">
        <w:trPr>
          <w:trHeight w:val="515"/>
        </w:trPr>
        <w:tc>
          <w:tcPr>
            <w:tcW w:w="589" w:type="dxa"/>
          </w:tcPr>
          <w:p w14:paraId="3E064437" w14:textId="7343CA26" w:rsidR="00773352" w:rsidRPr="003A0720" w:rsidRDefault="00CD6B55" w:rsidP="00C6539F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lastRenderedPageBreak/>
              <w:t>8</w:t>
            </w:r>
          </w:p>
        </w:tc>
        <w:tc>
          <w:tcPr>
            <w:tcW w:w="2011" w:type="dxa"/>
            <w:vMerge w:val="restart"/>
          </w:tcPr>
          <w:p w14:paraId="1173CDFF" w14:textId="30CC6C1A" w:rsidR="00773352" w:rsidRPr="003A0720" w:rsidRDefault="00773352" w:rsidP="00C6539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PEDO</w:t>
            </w:r>
          </w:p>
        </w:tc>
        <w:tc>
          <w:tcPr>
            <w:tcW w:w="4231" w:type="dxa"/>
          </w:tcPr>
          <w:p w14:paraId="547A2E70" w14:textId="77777777" w:rsidR="00773352" w:rsidRPr="003A0720" w:rsidRDefault="00753D62" w:rsidP="00753D6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3A0720">
              <w:rPr>
                <w:rFonts w:cstheme="minorHAnsi"/>
                <w:color w:val="202124"/>
                <w:spacing w:val="3"/>
                <w:shd w:val="clear" w:color="auto" w:fill="FFFFFF"/>
              </w:rPr>
              <w:t>Jairam, L.S., Chandrashekar, A., Prabhu, T.N., Kotha, S.B., Girish, M.S., Devraj, I.M., Shri, M.D. and Prashantha, K., 2023. A review on biomedical and dental applications of cerium oxide nanoparticles―Unearthing the potential of this rare earth metal. Journal of Rare Earths.</w:t>
            </w:r>
          </w:p>
          <w:p w14:paraId="22B26536" w14:textId="59E398CD" w:rsidR="00F766A7" w:rsidRPr="003A0720" w:rsidRDefault="00F766A7" w:rsidP="00753D6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003" w:type="dxa"/>
          </w:tcPr>
          <w:p w14:paraId="30E19D96" w14:textId="520CC021" w:rsidR="00773352" w:rsidRPr="003A0720" w:rsidRDefault="00753D62" w:rsidP="00C6539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5A675C95" w14:textId="0FB7D8AA" w:rsidR="00773352" w:rsidRPr="003A0720" w:rsidRDefault="00753D62" w:rsidP="0071464E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4A5798D8" w14:textId="43FFD3A8" w:rsidR="00773352" w:rsidRPr="003A0720" w:rsidRDefault="0086515A" w:rsidP="00C6539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1D8F72B5" w14:textId="3342351C" w:rsidR="00773352" w:rsidRPr="003A0720" w:rsidRDefault="00773352" w:rsidP="00C6539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330543C" w14:textId="3B21FA56" w:rsidR="00773352" w:rsidRPr="003A0720" w:rsidRDefault="00753D62" w:rsidP="00C6539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101C4A68" w14:textId="0A132F01" w:rsidR="00773352" w:rsidRPr="003A0720" w:rsidRDefault="00753D62" w:rsidP="00C6539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Faculty with PG</w:t>
            </w:r>
          </w:p>
        </w:tc>
      </w:tr>
      <w:tr w:rsidR="00773352" w:rsidRPr="003A0720" w14:paraId="4A65162B" w14:textId="77777777" w:rsidTr="00F766A7">
        <w:trPr>
          <w:trHeight w:val="1537"/>
        </w:trPr>
        <w:tc>
          <w:tcPr>
            <w:tcW w:w="589" w:type="dxa"/>
          </w:tcPr>
          <w:p w14:paraId="35918816" w14:textId="77777777" w:rsidR="00773352" w:rsidRPr="003A0720" w:rsidRDefault="00773352" w:rsidP="00C6539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2B1E89C9" w14:textId="77777777" w:rsidR="00773352" w:rsidRPr="003A0720" w:rsidRDefault="00773352" w:rsidP="00C6539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D98BD09" w14:textId="1251ADEE" w:rsidR="00C25E83" w:rsidRPr="003A0720" w:rsidRDefault="00B776EB" w:rsidP="00753D62">
            <w:pPr>
              <w:spacing w:after="0" w:line="240" w:lineRule="auto"/>
              <w:rPr>
                <w:rFonts w:cstheme="minorHAnsi"/>
              </w:rPr>
            </w:pPr>
            <w:r w:rsidRPr="003A072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Pushpalatha, C., Gayathri, V.S., Sowmya, S.V., Augustine, D., Alamoudi, A., Zidane, B., Albar, N.H.M. and Bhandi, S., 2023. Nanohydroxyapatite in Dentistry: A Comprehensive Review. </w:t>
            </w:r>
            <w:r w:rsidRPr="003A0720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Saudi Dental Journal</w:t>
            </w:r>
            <w:r w:rsidRPr="003A072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03" w:type="dxa"/>
          </w:tcPr>
          <w:p w14:paraId="7798D403" w14:textId="11929B7E" w:rsidR="00773352" w:rsidRPr="003A0720" w:rsidRDefault="00F766A7" w:rsidP="00C6539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3D0A7DD0" w14:textId="1BAC05F2" w:rsidR="00773352" w:rsidRPr="003A0720" w:rsidRDefault="00F766A7" w:rsidP="0071464E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56895EAA" w14:textId="45D333A2" w:rsidR="00773352" w:rsidRPr="003A0720" w:rsidRDefault="00B776EB" w:rsidP="00C6539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6F01923F" w14:textId="3DF4DBE0" w:rsidR="00773352" w:rsidRPr="003A0720" w:rsidRDefault="00773352" w:rsidP="00C6539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A5469B5" w14:textId="0A24E46C" w:rsidR="00773352" w:rsidRPr="003A0720" w:rsidRDefault="00B776EB" w:rsidP="00C6539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0368111C" w14:textId="0F5DDDD3" w:rsidR="00773352" w:rsidRPr="003A0720" w:rsidRDefault="003A0720" w:rsidP="00C6539F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CD6B55" w:rsidRPr="003A0720" w14:paraId="4A2F604F" w14:textId="77777777" w:rsidTr="00084DCD">
        <w:trPr>
          <w:trHeight w:val="515"/>
        </w:trPr>
        <w:tc>
          <w:tcPr>
            <w:tcW w:w="589" w:type="dxa"/>
          </w:tcPr>
          <w:p w14:paraId="73EF9B67" w14:textId="0AAEFE0E" w:rsidR="00CD6B55" w:rsidRPr="003A0720" w:rsidRDefault="00CD6B55" w:rsidP="00216248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9</w:t>
            </w:r>
          </w:p>
        </w:tc>
        <w:tc>
          <w:tcPr>
            <w:tcW w:w="2011" w:type="dxa"/>
          </w:tcPr>
          <w:p w14:paraId="4A29BC26" w14:textId="35CF95C1" w:rsidR="00CD6B55" w:rsidRPr="003A0720" w:rsidRDefault="00CD6B55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Public Health Dentistry</w:t>
            </w:r>
          </w:p>
        </w:tc>
        <w:tc>
          <w:tcPr>
            <w:tcW w:w="4231" w:type="dxa"/>
          </w:tcPr>
          <w:p w14:paraId="52BAEF26" w14:textId="7307B6DB" w:rsidR="00753D62" w:rsidRPr="003A0720" w:rsidRDefault="00753D62" w:rsidP="00753D6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  <w:lang w:val="de-DE"/>
              </w:rPr>
              <w:t xml:space="preserve">Darukaradhya, T., Shwetha, K. and Krishnappa, P., 2023. </w:t>
            </w:r>
            <w:r w:rsidRPr="003A0720">
              <w:rPr>
                <w:rFonts w:cstheme="minorHAnsi"/>
                <w:color w:val="222222"/>
                <w:shd w:val="clear" w:color="auto" w:fill="FFFFFF"/>
              </w:rPr>
              <w:t>Development and validation of social-cognitive theory</w:t>
            </w:r>
          </w:p>
          <w:p w14:paraId="3495C790" w14:textId="77777777" w:rsidR="00E5636F" w:rsidRPr="003A0720" w:rsidRDefault="00753D62" w:rsidP="00753D6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>based oral cancer awareness assessment tool for adolescents. Indian Journal of Community Medicine, 48(1), pp.147-154</w:t>
            </w:r>
          </w:p>
          <w:p w14:paraId="3E23CFDA" w14:textId="35A1BACA" w:rsidR="00F766A7" w:rsidRPr="003A0720" w:rsidRDefault="00F766A7" w:rsidP="00753D6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1003" w:type="dxa"/>
          </w:tcPr>
          <w:p w14:paraId="7EE9B40F" w14:textId="2CECD0FF" w:rsidR="00CD6B55" w:rsidRPr="003A0720" w:rsidRDefault="00753D62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6ADA9CB" w14:textId="5747D406" w:rsidR="00CD6B55" w:rsidRPr="003A0720" w:rsidRDefault="00753D62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2F57C4D0" w14:textId="63E2C1B0" w:rsidR="00CD6B55" w:rsidRPr="003A0720" w:rsidRDefault="00753D62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 xml:space="preserve">Yes </w:t>
            </w:r>
          </w:p>
        </w:tc>
        <w:tc>
          <w:tcPr>
            <w:tcW w:w="890" w:type="dxa"/>
          </w:tcPr>
          <w:p w14:paraId="552620E6" w14:textId="3B3BB2A8" w:rsidR="00CD6B55" w:rsidRPr="003A0720" w:rsidRDefault="00887795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0.9</w:t>
            </w:r>
          </w:p>
        </w:tc>
        <w:tc>
          <w:tcPr>
            <w:tcW w:w="954" w:type="dxa"/>
          </w:tcPr>
          <w:p w14:paraId="32C90061" w14:textId="213FAAA4" w:rsidR="00CD6B55" w:rsidRPr="003A0720" w:rsidRDefault="00CD6B55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420677F" w14:textId="40E03A84" w:rsidR="00CD6B55" w:rsidRPr="003A0720" w:rsidRDefault="003A0720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CD6B55" w:rsidRPr="003A0720" w14:paraId="57F1E314" w14:textId="77777777" w:rsidTr="00084DCD">
        <w:trPr>
          <w:trHeight w:val="515"/>
        </w:trPr>
        <w:tc>
          <w:tcPr>
            <w:tcW w:w="589" w:type="dxa"/>
          </w:tcPr>
          <w:p w14:paraId="77912069" w14:textId="77777777" w:rsidR="00CD6B55" w:rsidRPr="003A0720" w:rsidRDefault="00CD6B55" w:rsidP="00216248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159560D8" w14:textId="77777777" w:rsidR="00CD6B55" w:rsidRPr="003A0720" w:rsidRDefault="00CD6B55" w:rsidP="00216248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92CD233" w14:textId="3E866551" w:rsidR="00753D62" w:rsidRPr="003A0720" w:rsidRDefault="00753D62" w:rsidP="00753D6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>Krishnappa, P., Sriranga, J., Shwetha, K.M., Sagarkar, A.R. and Singh, A., 2023. Faculty experience and reliability of assessing narrative reports using rubrics:</w:t>
            </w:r>
          </w:p>
          <w:p w14:paraId="65B289C6" w14:textId="77777777" w:rsidR="00CD6B55" w:rsidRPr="003A0720" w:rsidRDefault="00753D62" w:rsidP="00753D6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3A0720">
              <w:rPr>
                <w:rFonts w:cstheme="minorHAnsi"/>
                <w:color w:val="222222"/>
                <w:shd w:val="clear" w:color="auto" w:fill="FFFFFF"/>
              </w:rPr>
              <w:t>Report from a dental school in India. Journal of Indian Association of Public Health Dentistry, 21(1), pp.76-82</w:t>
            </w:r>
          </w:p>
          <w:p w14:paraId="1EB10C52" w14:textId="55FFBF28" w:rsidR="00F766A7" w:rsidRPr="003A0720" w:rsidRDefault="00F766A7" w:rsidP="00753D6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1003" w:type="dxa"/>
          </w:tcPr>
          <w:p w14:paraId="09327511" w14:textId="2ED97504" w:rsidR="00CD6B55" w:rsidRPr="003A0720" w:rsidRDefault="00F766A7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FC1C764" w14:textId="4D116040" w:rsidR="00CD6B55" w:rsidRPr="003A0720" w:rsidRDefault="00F766A7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780B4CB3" w14:textId="3E5EAB01" w:rsidR="00CD6B55" w:rsidRPr="003A0720" w:rsidRDefault="00753D62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648A5527" w14:textId="1BC4BE11" w:rsidR="00CD6B55" w:rsidRPr="003A0720" w:rsidRDefault="00887795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0.4</w:t>
            </w:r>
          </w:p>
        </w:tc>
        <w:tc>
          <w:tcPr>
            <w:tcW w:w="954" w:type="dxa"/>
          </w:tcPr>
          <w:p w14:paraId="29F1A930" w14:textId="03271287" w:rsidR="00CD6B55" w:rsidRPr="003A0720" w:rsidRDefault="00753D62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36F45F1E" w14:textId="1B5C17A9" w:rsidR="00CD6B55" w:rsidRPr="003A0720" w:rsidRDefault="003A0720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CD6B55" w:rsidRPr="003A0720" w14:paraId="46CD1E1B" w14:textId="77777777" w:rsidTr="00084DCD">
        <w:trPr>
          <w:trHeight w:val="515"/>
        </w:trPr>
        <w:tc>
          <w:tcPr>
            <w:tcW w:w="589" w:type="dxa"/>
          </w:tcPr>
          <w:p w14:paraId="325FF675" w14:textId="77777777" w:rsidR="00CD6B55" w:rsidRPr="003A0720" w:rsidRDefault="00CD6B55" w:rsidP="00216248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267EC271" w14:textId="77777777" w:rsidR="00CD6B55" w:rsidRPr="003A0720" w:rsidRDefault="00CD6B55" w:rsidP="00216248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7F63E04" w14:textId="70DFA68E" w:rsidR="00CD6B55" w:rsidRPr="003A0720" w:rsidRDefault="00887795" w:rsidP="00753D6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Siraj, E.S.,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Sagarkar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A.R.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Pushpanjali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K., 2023. Comparative evaluation of dental caries experience using CAST index and WHO criteria among 5 and 15-year-old schoolchildren.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Medicine and Pharmacy Reports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96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p.192.</w:t>
            </w:r>
          </w:p>
        </w:tc>
        <w:tc>
          <w:tcPr>
            <w:tcW w:w="1003" w:type="dxa"/>
          </w:tcPr>
          <w:p w14:paraId="6CB61EE7" w14:textId="3488B972" w:rsidR="00CD6B55" w:rsidRPr="003A0720" w:rsidRDefault="00887795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21CC8300" w14:textId="52C04356" w:rsidR="00CD6B55" w:rsidRPr="003A0720" w:rsidRDefault="0030785F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3DCA4CE0" w14:textId="54C82AEF" w:rsidR="00CD6B55" w:rsidRPr="003A0720" w:rsidRDefault="00753D62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14F3F7DB" w14:textId="6A525B23" w:rsidR="00CD6B55" w:rsidRPr="003A0720" w:rsidRDefault="0030785F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6E785529" w14:textId="7B04EE69" w:rsidR="00CD6B55" w:rsidRPr="003A0720" w:rsidRDefault="00887795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19680679" w14:textId="2D52B346" w:rsidR="00CD6B55" w:rsidRPr="003A0720" w:rsidRDefault="00753D62" w:rsidP="00216248">
            <w:pPr>
              <w:rPr>
                <w:rFonts w:cstheme="minorHAnsi"/>
              </w:rPr>
            </w:pPr>
            <w:r w:rsidRPr="003A0720">
              <w:rPr>
                <w:rFonts w:cstheme="minorHAnsi"/>
              </w:rPr>
              <w:t>Faculty with PG</w:t>
            </w:r>
          </w:p>
        </w:tc>
      </w:tr>
      <w:tr w:rsidR="002A6C43" w:rsidRPr="003A0720" w14:paraId="420EEB43" w14:textId="77777777" w:rsidTr="00084DCD">
        <w:trPr>
          <w:trHeight w:val="515"/>
        </w:trPr>
        <w:tc>
          <w:tcPr>
            <w:tcW w:w="589" w:type="dxa"/>
          </w:tcPr>
          <w:p w14:paraId="764D6C53" w14:textId="77777777" w:rsidR="002A6C43" w:rsidRPr="003A0720" w:rsidRDefault="002A6C43" w:rsidP="00216248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13419C19" w14:textId="77777777" w:rsidR="002A6C43" w:rsidRPr="003A0720" w:rsidRDefault="002A6C43" w:rsidP="00216248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70E2CF1" w14:textId="6E86CD84" w:rsidR="002A6C43" w:rsidRPr="003A0720" w:rsidRDefault="002A6C43" w:rsidP="00753D6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James, A.,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Janakiram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C., Meghana, R.V., Kumar, V.S.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Sagarkar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A.R., 2023. Impact of oral conditions on oral health-related quality of life among Indians-a systematic review and Meta-analysis.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Health and Quality of Life Outcomes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p.102.</w:t>
            </w:r>
          </w:p>
        </w:tc>
        <w:tc>
          <w:tcPr>
            <w:tcW w:w="1003" w:type="dxa"/>
          </w:tcPr>
          <w:p w14:paraId="55DF0CCA" w14:textId="632F2D43" w:rsidR="002A6C43" w:rsidRPr="003A0720" w:rsidRDefault="002A6C43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8FA8928" w14:textId="768C14C7" w:rsidR="002A6C43" w:rsidRPr="003A0720" w:rsidRDefault="002A6C43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6E6CB352" w14:textId="708CD18E" w:rsidR="002A6C43" w:rsidRPr="003A0720" w:rsidRDefault="002A6C43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5B28514A" w14:textId="785D5776" w:rsidR="002A6C43" w:rsidRPr="003A0720" w:rsidRDefault="00887795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</w:p>
        </w:tc>
        <w:tc>
          <w:tcPr>
            <w:tcW w:w="954" w:type="dxa"/>
          </w:tcPr>
          <w:p w14:paraId="34C37181" w14:textId="3C2A78E2" w:rsidR="002A6C43" w:rsidRPr="003A0720" w:rsidRDefault="00887795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8E631BD" w14:textId="5F4CA409" w:rsidR="002A6C43" w:rsidRPr="003A0720" w:rsidRDefault="002A6C43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 with PG</w:t>
            </w:r>
          </w:p>
        </w:tc>
      </w:tr>
    </w:tbl>
    <w:p w14:paraId="3CC59104" w14:textId="77777777" w:rsidR="001B2161" w:rsidRPr="003A0720" w:rsidRDefault="001B2161" w:rsidP="007F0E25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D23A1" w:rsidRPr="003A0720" w14:paraId="3D52EAA0" w14:textId="77777777" w:rsidTr="001B2161">
        <w:tc>
          <w:tcPr>
            <w:tcW w:w="6588" w:type="dxa"/>
          </w:tcPr>
          <w:p w14:paraId="7244CBDB" w14:textId="52A749F9" w:rsidR="001D23A1" w:rsidRPr="00E765B4" w:rsidRDefault="001D23A1" w:rsidP="001D23A1">
            <w:pPr>
              <w:rPr>
                <w:rFonts w:cstheme="minorHAnsi"/>
              </w:rPr>
            </w:pPr>
            <w:r w:rsidRPr="00E765B4">
              <w:rPr>
                <w:rFonts w:cstheme="minorHAnsi"/>
              </w:rPr>
              <w:t xml:space="preserve">Others (Including Dr Kharbanda’s, which is not included in the </w:t>
            </w:r>
            <w:proofErr w:type="spellStart"/>
            <w:r w:rsidRPr="00E765B4">
              <w:rPr>
                <w:rFonts w:cstheme="minorHAnsi"/>
              </w:rPr>
              <w:t>masterchart</w:t>
            </w:r>
            <w:proofErr w:type="spellEnd"/>
            <w:r w:rsidRPr="00E765B4">
              <w:rPr>
                <w:rFonts w:cstheme="minorHAnsi"/>
              </w:rPr>
              <w:t>)</w:t>
            </w:r>
          </w:p>
        </w:tc>
        <w:tc>
          <w:tcPr>
            <w:tcW w:w="6588" w:type="dxa"/>
          </w:tcPr>
          <w:p w14:paraId="544D8778" w14:textId="44F5AD70" w:rsidR="001D23A1" w:rsidRPr="00E765B4" w:rsidRDefault="00BD05AF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1D23A1" w:rsidRPr="003A0720" w14:paraId="3829F158" w14:textId="77777777" w:rsidTr="001B2161">
        <w:tc>
          <w:tcPr>
            <w:tcW w:w="6588" w:type="dxa"/>
          </w:tcPr>
          <w:p w14:paraId="30FFC269" w14:textId="1E0B21D2" w:rsidR="001D23A1" w:rsidRPr="00E765B4" w:rsidRDefault="001D23A1" w:rsidP="001D23A1">
            <w:pPr>
              <w:rPr>
                <w:rFonts w:cstheme="minorHAnsi"/>
              </w:rPr>
            </w:pPr>
            <w:r w:rsidRPr="00E765B4">
              <w:rPr>
                <w:rFonts w:cstheme="minorHAnsi"/>
              </w:rPr>
              <w:t xml:space="preserve">SCOPUS (Including Dr Kharbanda’s, which is not included in the </w:t>
            </w:r>
            <w:proofErr w:type="spellStart"/>
            <w:r w:rsidRPr="00E765B4">
              <w:rPr>
                <w:rFonts w:cstheme="minorHAnsi"/>
              </w:rPr>
              <w:t>masterchart</w:t>
            </w:r>
            <w:proofErr w:type="spellEnd"/>
            <w:r w:rsidRPr="00E765B4">
              <w:rPr>
                <w:rFonts w:cstheme="minorHAnsi"/>
              </w:rPr>
              <w:t>)</w:t>
            </w:r>
          </w:p>
        </w:tc>
        <w:tc>
          <w:tcPr>
            <w:tcW w:w="6588" w:type="dxa"/>
          </w:tcPr>
          <w:p w14:paraId="5ED1F828" w14:textId="3A31A3A1" w:rsidR="001D23A1" w:rsidRPr="00E765B4" w:rsidRDefault="001C4C3A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1D23A1" w:rsidRPr="003A0720" w14:paraId="6FF63817" w14:textId="77777777" w:rsidTr="001B2161">
        <w:tc>
          <w:tcPr>
            <w:tcW w:w="6588" w:type="dxa"/>
          </w:tcPr>
          <w:p w14:paraId="3C1C9C81" w14:textId="08650C03" w:rsidR="001D23A1" w:rsidRPr="00E765B4" w:rsidRDefault="001D23A1" w:rsidP="001D23A1">
            <w:pPr>
              <w:rPr>
                <w:rFonts w:cstheme="minorHAnsi"/>
              </w:rPr>
            </w:pPr>
            <w:r w:rsidRPr="00E765B4">
              <w:rPr>
                <w:rFonts w:cstheme="minorHAnsi"/>
              </w:rPr>
              <w:t xml:space="preserve">WOS (Including Dr Kharbanda’s, which is not included in the </w:t>
            </w:r>
            <w:proofErr w:type="spellStart"/>
            <w:r w:rsidRPr="00E765B4">
              <w:rPr>
                <w:rFonts w:cstheme="minorHAnsi"/>
              </w:rPr>
              <w:t>masterchart</w:t>
            </w:r>
            <w:proofErr w:type="spellEnd"/>
            <w:r w:rsidRPr="00E765B4">
              <w:rPr>
                <w:rFonts w:cstheme="minorHAnsi"/>
              </w:rPr>
              <w:t>)</w:t>
            </w:r>
          </w:p>
        </w:tc>
        <w:tc>
          <w:tcPr>
            <w:tcW w:w="6588" w:type="dxa"/>
          </w:tcPr>
          <w:p w14:paraId="30ACCB0B" w14:textId="72496222" w:rsidR="001D23A1" w:rsidRPr="00E765B4" w:rsidRDefault="001D23A1" w:rsidP="001D23A1">
            <w:pPr>
              <w:rPr>
                <w:rFonts w:cstheme="minorHAnsi"/>
              </w:rPr>
            </w:pPr>
            <w:r w:rsidRPr="00E765B4">
              <w:rPr>
                <w:rFonts w:cstheme="minorHAnsi"/>
              </w:rPr>
              <w:t>1</w:t>
            </w:r>
            <w:r w:rsidR="00E765B4" w:rsidRPr="00E765B4">
              <w:rPr>
                <w:rFonts w:cstheme="minorHAnsi"/>
              </w:rPr>
              <w:t>9</w:t>
            </w:r>
          </w:p>
        </w:tc>
      </w:tr>
      <w:tr w:rsidR="001D23A1" w:rsidRPr="003A0720" w14:paraId="2957E88A" w14:textId="77777777" w:rsidTr="001B2161">
        <w:tc>
          <w:tcPr>
            <w:tcW w:w="6588" w:type="dxa"/>
          </w:tcPr>
          <w:p w14:paraId="4F85E3A3" w14:textId="7CAF9341" w:rsidR="001D23A1" w:rsidRPr="00E765B4" w:rsidRDefault="00E765B4" w:rsidP="001D23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65B4">
              <w:rPr>
                <w:rFonts w:cstheme="minorHAnsi"/>
                <w:b/>
                <w:bCs/>
                <w:sz w:val="24"/>
                <w:szCs w:val="24"/>
              </w:rPr>
              <w:t>TOTAL PUBLICATIONS</w:t>
            </w:r>
          </w:p>
        </w:tc>
        <w:tc>
          <w:tcPr>
            <w:tcW w:w="6588" w:type="dxa"/>
          </w:tcPr>
          <w:p w14:paraId="5E7AD55B" w14:textId="48344872" w:rsidR="001D23A1" w:rsidRPr="00E765B4" w:rsidRDefault="00BD05AF" w:rsidP="001D23A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1C4C3A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1D23A1" w:rsidRPr="003A0720" w14:paraId="6913CC5D" w14:textId="77777777" w:rsidTr="001B2161">
        <w:tc>
          <w:tcPr>
            <w:tcW w:w="6588" w:type="dxa"/>
          </w:tcPr>
          <w:p w14:paraId="0F559641" w14:textId="1D364779" w:rsidR="001D23A1" w:rsidRPr="00E765B4" w:rsidRDefault="001D23A1" w:rsidP="001D23A1">
            <w:pPr>
              <w:rPr>
                <w:rFonts w:cstheme="minorHAnsi"/>
              </w:rPr>
            </w:pPr>
            <w:r w:rsidRPr="00E765B4">
              <w:rPr>
                <w:rFonts w:cstheme="minorHAnsi"/>
              </w:rPr>
              <w:t>Book Chapter that was also present along with this data</w:t>
            </w:r>
          </w:p>
        </w:tc>
        <w:tc>
          <w:tcPr>
            <w:tcW w:w="6588" w:type="dxa"/>
          </w:tcPr>
          <w:p w14:paraId="6171E2B9" w14:textId="69BA60C0" w:rsidR="001D23A1" w:rsidRPr="00E765B4" w:rsidRDefault="001C4C3A" w:rsidP="001D23A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1D23A1" w:rsidRPr="003A0720" w14:paraId="78C93801" w14:textId="77777777" w:rsidTr="001B2161">
        <w:tc>
          <w:tcPr>
            <w:tcW w:w="6588" w:type="dxa"/>
          </w:tcPr>
          <w:p w14:paraId="563FF197" w14:textId="38079861" w:rsidR="001D23A1" w:rsidRPr="00E765B4" w:rsidRDefault="001D23A1" w:rsidP="001D23A1">
            <w:pPr>
              <w:rPr>
                <w:rFonts w:cstheme="minorHAnsi"/>
              </w:rPr>
            </w:pPr>
            <w:r w:rsidRPr="00E765B4">
              <w:rPr>
                <w:rFonts w:cstheme="minorHAnsi"/>
              </w:rPr>
              <w:t>Conference proceedings that was also added along with this data</w:t>
            </w:r>
          </w:p>
        </w:tc>
        <w:tc>
          <w:tcPr>
            <w:tcW w:w="6588" w:type="dxa"/>
          </w:tcPr>
          <w:p w14:paraId="6E2411BB" w14:textId="4E7F8F76" w:rsidR="001D23A1" w:rsidRPr="00E765B4" w:rsidRDefault="001D23A1" w:rsidP="001D23A1">
            <w:pPr>
              <w:rPr>
                <w:rFonts w:cstheme="minorHAnsi"/>
              </w:rPr>
            </w:pPr>
          </w:p>
        </w:tc>
      </w:tr>
    </w:tbl>
    <w:p w14:paraId="324F56DD" w14:textId="77777777" w:rsidR="001B2161" w:rsidRPr="003A0720" w:rsidRDefault="001B2161" w:rsidP="007F0E25">
      <w:pPr>
        <w:rPr>
          <w:rFonts w:cstheme="minorHAnsi"/>
          <w:b/>
          <w:bCs/>
        </w:rPr>
      </w:pPr>
    </w:p>
    <w:p w14:paraId="380EC1E0" w14:textId="77777777" w:rsidR="003A0720" w:rsidRDefault="003A0720" w:rsidP="007F0E25">
      <w:pPr>
        <w:rPr>
          <w:rFonts w:cstheme="minorHAnsi"/>
          <w:b/>
          <w:bCs/>
        </w:rPr>
      </w:pPr>
    </w:p>
    <w:p w14:paraId="014AA43D" w14:textId="77777777" w:rsidR="00E765B4" w:rsidRPr="003A0720" w:rsidRDefault="00E765B4" w:rsidP="007F0E25">
      <w:pPr>
        <w:rPr>
          <w:rFonts w:cstheme="minorHAnsi"/>
          <w:b/>
          <w:bCs/>
        </w:rPr>
      </w:pPr>
    </w:p>
    <w:p w14:paraId="655E8883" w14:textId="77777777" w:rsidR="003A0720" w:rsidRPr="003A0720" w:rsidRDefault="003A0720" w:rsidP="003A0720">
      <w:pPr>
        <w:rPr>
          <w:rFonts w:cstheme="minorHAnsi"/>
          <w:b/>
          <w:bCs/>
          <w:sz w:val="28"/>
          <w:szCs w:val="28"/>
        </w:rPr>
      </w:pPr>
      <w:r w:rsidRPr="003A0720">
        <w:rPr>
          <w:rFonts w:cstheme="minorHAnsi"/>
          <w:b/>
          <w:bCs/>
          <w:sz w:val="28"/>
          <w:szCs w:val="28"/>
        </w:rPr>
        <w:lastRenderedPageBreak/>
        <w:t>Book Chapter</w:t>
      </w:r>
    </w:p>
    <w:tbl>
      <w:tblPr>
        <w:tblStyle w:val="TableGrid"/>
        <w:tblW w:w="15438" w:type="dxa"/>
        <w:tblInd w:w="-365" w:type="dxa"/>
        <w:tblLook w:val="04A0" w:firstRow="1" w:lastRow="0" w:firstColumn="1" w:lastColumn="0" w:noHBand="0" w:noVBand="1"/>
      </w:tblPr>
      <w:tblGrid>
        <w:gridCol w:w="617"/>
        <w:gridCol w:w="4819"/>
        <w:gridCol w:w="1398"/>
        <w:gridCol w:w="1398"/>
        <w:gridCol w:w="971"/>
        <w:gridCol w:w="947"/>
        <w:gridCol w:w="5288"/>
      </w:tblGrid>
      <w:tr w:rsidR="000967EF" w:rsidRPr="003A0720" w14:paraId="0834ED6E" w14:textId="77777777" w:rsidTr="000967EF">
        <w:trPr>
          <w:trHeight w:val="834"/>
        </w:trPr>
        <w:tc>
          <w:tcPr>
            <w:tcW w:w="617" w:type="dxa"/>
          </w:tcPr>
          <w:p w14:paraId="76A7FEA0" w14:textId="77777777" w:rsidR="000967EF" w:rsidRPr="003A0720" w:rsidRDefault="000967EF" w:rsidP="00176DE8">
            <w:pPr>
              <w:rPr>
                <w:rFonts w:cstheme="minorHAnsi"/>
                <w:b/>
                <w:bCs/>
              </w:rPr>
            </w:pPr>
            <w:proofErr w:type="spellStart"/>
            <w:r w:rsidRPr="003A0720">
              <w:rPr>
                <w:rFonts w:cstheme="minorHAnsi"/>
                <w:b/>
                <w:bCs/>
              </w:rPr>
              <w:t>Sl</w:t>
            </w:r>
            <w:proofErr w:type="spellEnd"/>
            <w:r w:rsidRPr="003A0720">
              <w:rPr>
                <w:rFonts w:cstheme="minorHAnsi"/>
                <w:b/>
                <w:bCs/>
              </w:rPr>
              <w:t xml:space="preserve"> no</w:t>
            </w:r>
          </w:p>
        </w:tc>
        <w:tc>
          <w:tcPr>
            <w:tcW w:w="4819" w:type="dxa"/>
          </w:tcPr>
          <w:p w14:paraId="25E035B0" w14:textId="77777777" w:rsidR="000967EF" w:rsidRPr="003A0720" w:rsidRDefault="000967EF" w:rsidP="00176DE8">
            <w:pPr>
              <w:jc w:val="center"/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Citation (Harvard Style)</w:t>
            </w:r>
          </w:p>
        </w:tc>
        <w:tc>
          <w:tcPr>
            <w:tcW w:w="1398" w:type="dxa"/>
          </w:tcPr>
          <w:p w14:paraId="5C7569D3" w14:textId="089280C4" w:rsidR="000967EF" w:rsidRPr="003A0720" w:rsidRDefault="000967EF" w:rsidP="00176D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Dept</w:t>
            </w:r>
          </w:p>
        </w:tc>
        <w:tc>
          <w:tcPr>
            <w:tcW w:w="1398" w:type="dxa"/>
          </w:tcPr>
          <w:p w14:paraId="25787AA1" w14:textId="501BFAE8" w:rsidR="000967EF" w:rsidRPr="003A0720" w:rsidRDefault="000967EF" w:rsidP="00176DE8">
            <w:pPr>
              <w:jc w:val="center"/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Scopus/Non-Scopus</w:t>
            </w:r>
          </w:p>
        </w:tc>
        <w:tc>
          <w:tcPr>
            <w:tcW w:w="971" w:type="dxa"/>
          </w:tcPr>
          <w:p w14:paraId="1A05363A" w14:textId="77777777" w:rsidR="000967EF" w:rsidRPr="003A0720" w:rsidRDefault="000967EF" w:rsidP="00176DE8">
            <w:pPr>
              <w:jc w:val="center"/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WoS</w:t>
            </w:r>
          </w:p>
        </w:tc>
        <w:tc>
          <w:tcPr>
            <w:tcW w:w="947" w:type="dxa"/>
          </w:tcPr>
          <w:p w14:paraId="54FE0A56" w14:textId="77777777" w:rsidR="000967EF" w:rsidRPr="003A0720" w:rsidRDefault="000967EF" w:rsidP="00176DE8">
            <w:pPr>
              <w:jc w:val="center"/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Non-indexed</w:t>
            </w:r>
          </w:p>
        </w:tc>
        <w:tc>
          <w:tcPr>
            <w:tcW w:w="5288" w:type="dxa"/>
          </w:tcPr>
          <w:p w14:paraId="30DF7915" w14:textId="77777777" w:rsidR="000967EF" w:rsidRPr="003A0720" w:rsidRDefault="000967EF" w:rsidP="00176DE8">
            <w:pPr>
              <w:jc w:val="center"/>
              <w:rPr>
                <w:rFonts w:cstheme="minorHAnsi"/>
                <w:b/>
                <w:bCs/>
              </w:rPr>
            </w:pPr>
            <w:r w:rsidRPr="003A0720">
              <w:rPr>
                <w:rFonts w:cstheme="minorHAnsi"/>
                <w:b/>
                <w:bCs/>
              </w:rPr>
              <w:t>Publication Type (All faculty/ Faculty with internal or external PhD scholar/Faculty with PG/ Faculty with UG)</w:t>
            </w:r>
          </w:p>
        </w:tc>
      </w:tr>
      <w:tr w:rsidR="000967EF" w:rsidRPr="003A0720" w14:paraId="219FA5E1" w14:textId="77777777" w:rsidTr="000967EF">
        <w:trPr>
          <w:trHeight w:val="775"/>
        </w:trPr>
        <w:tc>
          <w:tcPr>
            <w:tcW w:w="617" w:type="dxa"/>
          </w:tcPr>
          <w:p w14:paraId="71853D6B" w14:textId="77777777" w:rsidR="000967EF" w:rsidRPr="003A0720" w:rsidRDefault="000967EF" w:rsidP="00176DE8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1</w:t>
            </w:r>
          </w:p>
        </w:tc>
        <w:tc>
          <w:tcPr>
            <w:tcW w:w="4819" w:type="dxa"/>
          </w:tcPr>
          <w:p w14:paraId="47164EF5" w14:textId="39AAAB71" w:rsidR="000967EF" w:rsidRPr="003A0720" w:rsidRDefault="000967EF" w:rsidP="00176DE8">
            <w:pPr>
              <w:rPr>
                <w:rFonts w:cstheme="minorHAnsi"/>
              </w:rPr>
            </w:pPr>
            <w:r w:rsidRPr="00753D62">
              <w:rPr>
                <w:rFonts w:cstheme="minorHAnsi"/>
                <w:color w:val="222222"/>
                <w:shd w:val="clear" w:color="auto" w:fill="FFFFFF"/>
              </w:rPr>
              <w:t>Choudhary, R., Reddy, S. Sujatha., and Desai, D. Vella.,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753D62">
              <w:rPr>
                <w:rFonts w:cstheme="minorHAnsi"/>
                <w:color w:val="222222"/>
                <w:shd w:val="clear" w:color="auto" w:fill="FFFFFF"/>
              </w:rPr>
              <w:t>2023.Salivary Gland Development, Function, Disorders,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753D62">
              <w:rPr>
                <w:rFonts w:cstheme="minorHAnsi"/>
                <w:color w:val="222222"/>
                <w:shd w:val="clear" w:color="auto" w:fill="FFFFFF"/>
              </w:rPr>
              <w:t>Imaging. In: Choudhary, R ed. Salivary Gland. LAP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753D62">
              <w:rPr>
                <w:rFonts w:cstheme="minorHAnsi"/>
                <w:color w:val="222222"/>
                <w:shd w:val="clear" w:color="auto" w:fill="FFFFFF"/>
              </w:rPr>
              <w:t>LAMBERT Academic publishers, pp.1-77.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398" w:type="dxa"/>
          </w:tcPr>
          <w:p w14:paraId="34D6B966" w14:textId="71217C0E" w:rsidR="000967EF" w:rsidRDefault="000967EF" w:rsidP="0017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OMDR</w:t>
            </w:r>
          </w:p>
        </w:tc>
        <w:tc>
          <w:tcPr>
            <w:tcW w:w="1398" w:type="dxa"/>
          </w:tcPr>
          <w:p w14:paraId="3DDFF7DA" w14:textId="1F69B1CD" w:rsidR="000967EF" w:rsidRPr="003A0720" w:rsidRDefault="000967EF" w:rsidP="0017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Non-Scopus</w:t>
            </w:r>
          </w:p>
        </w:tc>
        <w:tc>
          <w:tcPr>
            <w:tcW w:w="971" w:type="dxa"/>
          </w:tcPr>
          <w:p w14:paraId="543440C8" w14:textId="44B33DCF" w:rsidR="000967EF" w:rsidRPr="003A0720" w:rsidRDefault="000967EF" w:rsidP="0017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947" w:type="dxa"/>
          </w:tcPr>
          <w:p w14:paraId="73A629A5" w14:textId="126994D3" w:rsidR="000967EF" w:rsidRPr="003A0720" w:rsidRDefault="000967EF" w:rsidP="0017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5288" w:type="dxa"/>
          </w:tcPr>
          <w:p w14:paraId="48989BD9" w14:textId="62DB9D90" w:rsidR="000967EF" w:rsidRPr="003A0720" w:rsidRDefault="000967EF" w:rsidP="00176DE8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All faculty</w:t>
            </w:r>
          </w:p>
        </w:tc>
      </w:tr>
      <w:tr w:rsidR="000967EF" w:rsidRPr="003A0720" w14:paraId="46434083" w14:textId="77777777" w:rsidTr="000967EF">
        <w:trPr>
          <w:trHeight w:val="515"/>
        </w:trPr>
        <w:tc>
          <w:tcPr>
            <w:tcW w:w="617" w:type="dxa"/>
          </w:tcPr>
          <w:p w14:paraId="04AB7E9C" w14:textId="77777777" w:rsidR="000967EF" w:rsidRPr="003A0720" w:rsidRDefault="000967EF" w:rsidP="00176DE8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2</w:t>
            </w:r>
          </w:p>
        </w:tc>
        <w:tc>
          <w:tcPr>
            <w:tcW w:w="4819" w:type="dxa"/>
          </w:tcPr>
          <w:p w14:paraId="4CD927B7" w14:textId="77777777" w:rsidR="000967EF" w:rsidRPr="003A0720" w:rsidRDefault="000967EF" w:rsidP="003A0720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A072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Augustine, D., Sandhya, K.V., James, J.J., Sowmya, S.V., Pushpalatha, C., Saraswathy, G.R., Shakir, A. and Dhodwad, R., 2023. Drug Delivery and Therapeutics for the Treatment of Infectious Diseases. In </w:t>
            </w:r>
            <w:r w:rsidRPr="003A0720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Nanovaccinology: Clinical Application of Nanostructured Materials Research to Translational Medicine</w:t>
            </w:r>
            <w:r w:rsidRPr="003A072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(pp. 59-77). Cham: Springer International Publishing.</w:t>
            </w:r>
          </w:p>
          <w:p w14:paraId="4224E04B" w14:textId="77777777" w:rsidR="000967EF" w:rsidRPr="003A0720" w:rsidRDefault="000967EF" w:rsidP="00176DE8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14:paraId="2AEAA603" w14:textId="0A72C7EB" w:rsidR="000967EF" w:rsidRDefault="000967EF" w:rsidP="008877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 &amp; PEDO</w:t>
            </w:r>
          </w:p>
        </w:tc>
        <w:tc>
          <w:tcPr>
            <w:tcW w:w="1398" w:type="dxa"/>
          </w:tcPr>
          <w:p w14:paraId="1BBD6AE0" w14:textId="2C93532D" w:rsidR="000967EF" w:rsidRPr="003A0720" w:rsidRDefault="000967EF" w:rsidP="00176DE8">
            <w:pPr>
              <w:rPr>
                <w:rFonts w:cstheme="minorHAnsi"/>
              </w:rPr>
            </w:pPr>
            <w:r>
              <w:rPr>
                <w:rFonts w:cstheme="minorHAnsi"/>
              </w:rPr>
              <w:t>Scopus</w:t>
            </w:r>
          </w:p>
        </w:tc>
        <w:tc>
          <w:tcPr>
            <w:tcW w:w="971" w:type="dxa"/>
          </w:tcPr>
          <w:p w14:paraId="4CB9CDBE" w14:textId="2DBF0DDA" w:rsidR="000967EF" w:rsidRPr="003A0720" w:rsidRDefault="000967EF" w:rsidP="00176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947" w:type="dxa"/>
          </w:tcPr>
          <w:p w14:paraId="0F16DEF9" w14:textId="678AE9F5" w:rsidR="000967EF" w:rsidRPr="003A0720" w:rsidRDefault="000967EF" w:rsidP="00176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288" w:type="dxa"/>
          </w:tcPr>
          <w:p w14:paraId="7B74ADFA" w14:textId="11155CAF" w:rsidR="000967EF" w:rsidRPr="003A0720" w:rsidRDefault="000967EF" w:rsidP="003A07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3A0720">
              <w:rPr>
                <w:rFonts w:cstheme="minorHAnsi"/>
              </w:rPr>
              <w:t>aculty</w:t>
            </w:r>
            <w:r>
              <w:rPr>
                <w:rFonts w:cstheme="minorHAnsi"/>
              </w:rPr>
              <w:t xml:space="preserve"> with PG</w:t>
            </w:r>
          </w:p>
        </w:tc>
      </w:tr>
      <w:tr w:rsidR="000967EF" w:rsidRPr="003A0720" w14:paraId="2A7AC4D1" w14:textId="77777777" w:rsidTr="000967EF">
        <w:trPr>
          <w:trHeight w:val="515"/>
        </w:trPr>
        <w:tc>
          <w:tcPr>
            <w:tcW w:w="617" w:type="dxa"/>
          </w:tcPr>
          <w:p w14:paraId="1D0EC2A0" w14:textId="77777777" w:rsidR="000967EF" w:rsidRPr="003A0720" w:rsidRDefault="000967EF" w:rsidP="003A0720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t>3</w:t>
            </w:r>
          </w:p>
        </w:tc>
        <w:tc>
          <w:tcPr>
            <w:tcW w:w="4819" w:type="dxa"/>
          </w:tcPr>
          <w:p w14:paraId="3C9F7E8C" w14:textId="77777777" w:rsidR="000967EF" w:rsidRPr="003A0720" w:rsidRDefault="000967EF" w:rsidP="003A0720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A072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Pushpalatha, C., Sowmya, S.V., Augustine, D., Kumar, C., Bharkavy, K.V., Jithya, S., Gayathri, V.S., Shakir, A. and Dhodwad, R., 2023. Nanoparticle as an Effective Tool for the Diagnosis of Diseases and Vaccinology. In </w:t>
            </w:r>
            <w:r w:rsidRPr="003A0720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Nanovaccinology: Clinical Application of Nanostructured Materials Research to Translational Medicine</w:t>
            </w:r>
            <w:r w:rsidRPr="003A072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(pp. 259-279). Cham: Springer International Publishing.</w:t>
            </w:r>
          </w:p>
          <w:p w14:paraId="5A4D3037" w14:textId="77777777" w:rsidR="000967EF" w:rsidRPr="003A0720" w:rsidRDefault="000967EF" w:rsidP="003A0720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14:paraId="2FB01E4D" w14:textId="50EEC998" w:rsidR="000967EF" w:rsidRDefault="000967EF" w:rsidP="008877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PEDO &amp; OP</w:t>
            </w:r>
          </w:p>
        </w:tc>
        <w:tc>
          <w:tcPr>
            <w:tcW w:w="1398" w:type="dxa"/>
          </w:tcPr>
          <w:p w14:paraId="5E3FA1BE" w14:textId="06EF9191" w:rsidR="000967EF" w:rsidRPr="003A0720" w:rsidRDefault="000967EF" w:rsidP="003A0720">
            <w:pPr>
              <w:rPr>
                <w:rFonts w:cstheme="minorHAnsi"/>
              </w:rPr>
            </w:pPr>
            <w:r>
              <w:rPr>
                <w:rFonts w:cstheme="minorHAnsi"/>
              </w:rPr>
              <w:t>Scopus</w:t>
            </w:r>
          </w:p>
        </w:tc>
        <w:tc>
          <w:tcPr>
            <w:tcW w:w="971" w:type="dxa"/>
          </w:tcPr>
          <w:p w14:paraId="4A2CE837" w14:textId="627CFF99" w:rsidR="000967EF" w:rsidRPr="003A0720" w:rsidRDefault="000967EF" w:rsidP="003A072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947" w:type="dxa"/>
          </w:tcPr>
          <w:p w14:paraId="37D558ED" w14:textId="70666A58" w:rsidR="000967EF" w:rsidRPr="003A0720" w:rsidRDefault="000967EF" w:rsidP="003A072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288" w:type="dxa"/>
          </w:tcPr>
          <w:p w14:paraId="0EC158DD" w14:textId="4D6F5900" w:rsidR="000967EF" w:rsidRPr="003A0720" w:rsidRDefault="000967EF" w:rsidP="003A07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3A0720">
              <w:rPr>
                <w:rFonts w:cstheme="minorHAnsi"/>
              </w:rPr>
              <w:t>aculty</w:t>
            </w:r>
            <w:r>
              <w:rPr>
                <w:rFonts w:cstheme="minorHAnsi"/>
              </w:rPr>
              <w:t xml:space="preserve"> with PG</w:t>
            </w:r>
          </w:p>
        </w:tc>
      </w:tr>
      <w:tr w:rsidR="000967EF" w:rsidRPr="003A0720" w14:paraId="388862F5" w14:textId="77777777" w:rsidTr="000967EF">
        <w:trPr>
          <w:trHeight w:val="515"/>
        </w:trPr>
        <w:tc>
          <w:tcPr>
            <w:tcW w:w="617" w:type="dxa"/>
          </w:tcPr>
          <w:p w14:paraId="63ED2C8D" w14:textId="0AA11F43" w:rsidR="000967EF" w:rsidRPr="003A0720" w:rsidRDefault="000967EF" w:rsidP="003A0720">
            <w:pPr>
              <w:jc w:val="center"/>
              <w:rPr>
                <w:rFonts w:cstheme="minorHAnsi"/>
              </w:rPr>
            </w:pPr>
            <w:r w:rsidRPr="003A0720">
              <w:rPr>
                <w:rFonts w:cstheme="minorHAnsi"/>
              </w:rPr>
              <w:lastRenderedPageBreak/>
              <w:t>4</w:t>
            </w:r>
          </w:p>
        </w:tc>
        <w:tc>
          <w:tcPr>
            <w:tcW w:w="4819" w:type="dxa"/>
          </w:tcPr>
          <w:p w14:paraId="0CC8D083" w14:textId="77777777" w:rsidR="000967EF" w:rsidRPr="003A0720" w:rsidRDefault="000967EF" w:rsidP="003A0720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72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Sowmya, S.V., Pushpalatha, C., Augustine, D., Singh, I., Shakir, A. and Dhodwad, R., 2023. Benefits of Molecular Medicine from Self-Assembled Nanostructured Materials. In </w:t>
            </w:r>
            <w:r w:rsidRPr="003A0720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Nanovaccinology: Clinical Application of Nanostructured Materials Research to Translational Medicine</w:t>
            </w:r>
            <w:r w:rsidRPr="003A072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(pp. 101-119). Cham: Springer International Publishing.</w:t>
            </w:r>
          </w:p>
          <w:p w14:paraId="1CD2FD5C" w14:textId="77777777" w:rsidR="000967EF" w:rsidRPr="003A0720" w:rsidRDefault="000967EF" w:rsidP="003A0720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14:paraId="67CC08E7" w14:textId="5664B718" w:rsidR="000967EF" w:rsidRDefault="00887795" w:rsidP="008877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 &amp; PEDO</w:t>
            </w:r>
          </w:p>
        </w:tc>
        <w:tc>
          <w:tcPr>
            <w:tcW w:w="1398" w:type="dxa"/>
          </w:tcPr>
          <w:p w14:paraId="654E679E" w14:textId="30776BDB" w:rsidR="000967EF" w:rsidRPr="003A0720" w:rsidRDefault="000967EF" w:rsidP="003A0720">
            <w:pPr>
              <w:rPr>
                <w:rFonts w:cstheme="minorHAnsi"/>
              </w:rPr>
            </w:pPr>
          </w:p>
        </w:tc>
        <w:tc>
          <w:tcPr>
            <w:tcW w:w="971" w:type="dxa"/>
          </w:tcPr>
          <w:p w14:paraId="0BEA1741" w14:textId="41F34402" w:rsidR="000967EF" w:rsidRPr="003A0720" w:rsidRDefault="000967EF" w:rsidP="003A072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947" w:type="dxa"/>
          </w:tcPr>
          <w:p w14:paraId="2E8ADFF2" w14:textId="2C84D240" w:rsidR="000967EF" w:rsidRPr="003A0720" w:rsidRDefault="000967EF" w:rsidP="003A072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288" w:type="dxa"/>
          </w:tcPr>
          <w:p w14:paraId="20BE1DC2" w14:textId="43B63908" w:rsidR="000967EF" w:rsidRPr="003A0720" w:rsidRDefault="000967EF" w:rsidP="003A07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3A0720">
              <w:rPr>
                <w:rFonts w:cstheme="minorHAnsi"/>
              </w:rPr>
              <w:t>aculty</w:t>
            </w:r>
            <w:r>
              <w:rPr>
                <w:rFonts w:cstheme="minorHAnsi"/>
              </w:rPr>
              <w:t xml:space="preserve"> with PG</w:t>
            </w:r>
          </w:p>
        </w:tc>
      </w:tr>
      <w:tr w:rsidR="000967EF" w:rsidRPr="003A0720" w14:paraId="1FA27F49" w14:textId="77777777" w:rsidTr="000967EF">
        <w:trPr>
          <w:trHeight w:val="515"/>
        </w:trPr>
        <w:tc>
          <w:tcPr>
            <w:tcW w:w="617" w:type="dxa"/>
          </w:tcPr>
          <w:p w14:paraId="49C28877" w14:textId="4CCB09DD" w:rsidR="000967EF" w:rsidRPr="003A0720" w:rsidRDefault="000967EF" w:rsidP="0017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819" w:type="dxa"/>
          </w:tcPr>
          <w:p w14:paraId="46FA1426" w14:textId="39BD543B" w:rsidR="000967EF" w:rsidRPr="003A0720" w:rsidRDefault="000967EF" w:rsidP="00176DE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5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Pushpalatha, C., Sowmya, S.V., Augustine, D., Shakir, A.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875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Singh, I., Dhareshwara V, Rai A, Padmanabhan V</w:t>
            </w:r>
            <w:r w:rsidRPr="003A072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2023. </w:t>
            </w:r>
            <w:r w:rsidRPr="00F875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Nanozyme-Based Strategies for Environmental Pathogen Detection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F875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3A072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 </w:t>
            </w:r>
            <w:r w:rsidRPr="00F875AD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Emerging Environmental Applications of Nanozymes </w:t>
            </w:r>
            <w:r w:rsidRPr="003A072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75</w:t>
            </w:r>
            <w:r w:rsidRPr="003A072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-9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Pr="003A072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). Cham: Springer International Publishing.</w:t>
            </w:r>
          </w:p>
          <w:p w14:paraId="02E3C442" w14:textId="77777777" w:rsidR="000967EF" w:rsidRPr="003A0720" w:rsidRDefault="000967EF" w:rsidP="00176DE8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14:paraId="20CA800A" w14:textId="1A057AD2" w:rsidR="000967EF" w:rsidRDefault="00887795" w:rsidP="008877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PEDO &amp; OP</w:t>
            </w:r>
          </w:p>
        </w:tc>
        <w:tc>
          <w:tcPr>
            <w:tcW w:w="1398" w:type="dxa"/>
          </w:tcPr>
          <w:p w14:paraId="76ECD245" w14:textId="70717C02" w:rsidR="000967EF" w:rsidRPr="003A0720" w:rsidRDefault="000967EF" w:rsidP="00176DE8">
            <w:pPr>
              <w:rPr>
                <w:rFonts w:cstheme="minorHAnsi"/>
              </w:rPr>
            </w:pPr>
          </w:p>
        </w:tc>
        <w:tc>
          <w:tcPr>
            <w:tcW w:w="971" w:type="dxa"/>
          </w:tcPr>
          <w:p w14:paraId="764B870B" w14:textId="77777777" w:rsidR="000967EF" w:rsidRPr="003A0720" w:rsidRDefault="000967EF" w:rsidP="00176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947" w:type="dxa"/>
          </w:tcPr>
          <w:p w14:paraId="4A88AA01" w14:textId="77777777" w:rsidR="000967EF" w:rsidRPr="003A0720" w:rsidRDefault="000967EF" w:rsidP="00176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288" w:type="dxa"/>
          </w:tcPr>
          <w:p w14:paraId="77EECFB0" w14:textId="6088095A" w:rsidR="000967EF" w:rsidRPr="003A0720" w:rsidRDefault="000967EF" w:rsidP="0017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3A0720">
              <w:rPr>
                <w:rFonts w:cstheme="minorHAnsi"/>
              </w:rPr>
              <w:t>aculty</w:t>
            </w:r>
            <w:r>
              <w:rPr>
                <w:rFonts w:cstheme="minorHAnsi"/>
              </w:rPr>
              <w:t xml:space="preserve"> with UG</w:t>
            </w:r>
          </w:p>
        </w:tc>
      </w:tr>
      <w:tr w:rsidR="000967EF" w:rsidRPr="003A0720" w14:paraId="25F275DD" w14:textId="77777777" w:rsidTr="000967EF">
        <w:trPr>
          <w:trHeight w:val="515"/>
        </w:trPr>
        <w:tc>
          <w:tcPr>
            <w:tcW w:w="617" w:type="dxa"/>
          </w:tcPr>
          <w:p w14:paraId="52EE7E27" w14:textId="6ACD2167" w:rsidR="000967EF" w:rsidRDefault="00E765B4" w:rsidP="00096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819" w:type="dxa"/>
          </w:tcPr>
          <w:p w14:paraId="451D7B28" w14:textId="77777777" w:rsidR="000967EF" w:rsidRPr="00E21C46" w:rsidRDefault="000967EF" w:rsidP="000967E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6282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>Yashwanth</w:t>
            </w:r>
            <w:proofErr w:type="spellEnd"/>
            <w:r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 xml:space="preserve"> Raju K R, </w:t>
            </w:r>
            <w:proofErr w:type="spellStart"/>
            <w:r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>Parimala</w:t>
            </w:r>
            <w:proofErr w:type="spellEnd"/>
            <w:r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 xml:space="preserve"> Sagar, Kavitha Prasad. (2023) “Regional Anaesthesia of Face”</w:t>
            </w:r>
          </w:p>
          <w:p w14:paraId="226A8BF1" w14:textId="77777777" w:rsidR="000967EF" w:rsidRPr="00F875AD" w:rsidRDefault="000967EF" w:rsidP="000967EF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8" w:type="dxa"/>
          </w:tcPr>
          <w:p w14:paraId="4ABFE58B" w14:textId="37F0C52F" w:rsidR="000967EF" w:rsidRDefault="00887795" w:rsidP="00887795">
            <w:pPr>
              <w:jc w:val="center"/>
            </w:pPr>
            <w:r>
              <w:t>OMFS</w:t>
            </w:r>
          </w:p>
        </w:tc>
        <w:tc>
          <w:tcPr>
            <w:tcW w:w="1398" w:type="dxa"/>
          </w:tcPr>
          <w:p w14:paraId="6C8753FF" w14:textId="139EB62F" w:rsidR="000967EF" w:rsidRDefault="000967EF" w:rsidP="000967EF">
            <w:pPr>
              <w:rPr>
                <w:rFonts w:cstheme="minorHAnsi"/>
              </w:rPr>
            </w:pPr>
            <w:r>
              <w:t>Lambert Publisher</w:t>
            </w:r>
          </w:p>
        </w:tc>
        <w:tc>
          <w:tcPr>
            <w:tcW w:w="971" w:type="dxa"/>
          </w:tcPr>
          <w:p w14:paraId="0B6AE881" w14:textId="77777777" w:rsidR="000967EF" w:rsidRDefault="000967EF" w:rsidP="000967EF">
            <w:r>
              <w:t>ISBN Number</w:t>
            </w:r>
          </w:p>
          <w:p w14:paraId="1F66555D" w14:textId="77777777" w:rsidR="000967EF" w:rsidRDefault="000967EF" w:rsidP="000967EF">
            <w:r>
              <w:t>978-620-6-76764-0</w:t>
            </w:r>
          </w:p>
          <w:p w14:paraId="1EAE475D" w14:textId="77777777" w:rsidR="000967EF" w:rsidRDefault="000967EF" w:rsidP="000967EF">
            <w:pPr>
              <w:rPr>
                <w:rFonts w:cstheme="minorHAnsi"/>
              </w:rPr>
            </w:pPr>
          </w:p>
        </w:tc>
        <w:tc>
          <w:tcPr>
            <w:tcW w:w="947" w:type="dxa"/>
          </w:tcPr>
          <w:p w14:paraId="1EF479A7" w14:textId="77777777" w:rsidR="000967EF" w:rsidRDefault="000967EF" w:rsidP="000967EF">
            <w:pPr>
              <w:rPr>
                <w:rFonts w:cstheme="minorHAnsi"/>
              </w:rPr>
            </w:pPr>
          </w:p>
        </w:tc>
        <w:tc>
          <w:tcPr>
            <w:tcW w:w="5288" w:type="dxa"/>
          </w:tcPr>
          <w:p w14:paraId="23EBBE5B" w14:textId="33D7AE0C" w:rsidR="000967EF" w:rsidRDefault="000967EF" w:rsidP="000967EF">
            <w:pPr>
              <w:jc w:val="center"/>
              <w:rPr>
                <w:rFonts w:cstheme="minorHAnsi"/>
              </w:rPr>
            </w:pPr>
            <w:r>
              <w:t>All faculty</w:t>
            </w:r>
          </w:p>
        </w:tc>
      </w:tr>
      <w:tr w:rsidR="000967EF" w:rsidRPr="003A0720" w14:paraId="58C425E6" w14:textId="77777777" w:rsidTr="000967EF">
        <w:trPr>
          <w:trHeight w:val="515"/>
        </w:trPr>
        <w:tc>
          <w:tcPr>
            <w:tcW w:w="617" w:type="dxa"/>
          </w:tcPr>
          <w:p w14:paraId="69C6255C" w14:textId="5A8754CB" w:rsidR="000967EF" w:rsidRDefault="00E765B4" w:rsidP="00096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819" w:type="dxa"/>
          </w:tcPr>
          <w:p w14:paraId="33E5829D" w14:textId="77777777" w:rsidR="000967EF" w:rsidRDefault="000967EF" w:rsidP="000967EF">
            <w:pPr>
              <w:pStyle w:val="NormalWeb"/>
              <w:shd w:val="clear" w:color="auto" w:fill="FFFFFF"/>
              <w:rPr>
                <w:rFonts w:ascii="Helvetica" w:hAnsi="Helvetica" w:cs="Helvetica"/>
                <w:color w:val="26282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>Saumya</w:t>
            </w:r>
            <w:proofErr w:type="spellEnd"/>
            <w:r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 xml:space="preserve"> Kapoor, Kavitha Prasad, </w:t>
            </w:r>
            <w:proofErr w:type="spellStart"/>
            <w:r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>Parimala</w:t>
            </w:r>
            <w:proofErr w:type="spellEnd"/>
            <w:r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 xml:space="preserve"> Sagar. (2023) “Literature review of IMF techniques in oral and maxillofacial surgery”</w:t>
            </w:r>
            <w:r>
              <w:rPr>
                <w:b/>
                <w:bCs/>
                <w:color w:val="26282A"/>
              </w:rPr>
              <w:t> </w:t>
            </w:r>
          </w:p>
          <w:p w14:paraId="71942FC2" w14:textId="77777777" w:rsidR="000967EF" w:rsidRPr="00F875AD" w:rsidRDefault="000967EF" w:rsidP="000967EF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8" w:type="dxa"/>
          </w:tcPr>
          <w:p w14:paraId="2B817376" w14:textId="720B5457" w:rsidR="000967EF" w:rsidRDefault="00887795" w:rsidP="00887795">
            <w:pPr>
              <w:jc w:val="center"/>
            </w:pPr>
            <w:r>
              <w:lastRenderedPageBreak/>
              <w:t>OMFS</w:t>
            </w:r>
          </w:p>
        </w:tc>
        <w:tc>
          <w:tcPr>
            <w:tcW w:w="1398" w:type="dxa"/>
          </w:tcPr>
          <w:p w14:paraId="5CF9108C" w14:textId="3ED5CF60" w:rsidR="000967EF" w:rsidRDefault="000967EF" w:rsidP="000967EF">
            <w:pPr>
              <w:rPr>
                <w:rFonts w:cstheme="minorHAnsi"/>
              </w:rPr>
            </w:pPr>
            <w:r>
              <w:t>Lambert publisher</w:t>
            </w:r>
          </w:p>
        </w:tc>
        <w:tc>
          <w:tcPr>
            <w:tcW w:w="971" w:type="dxa"/>
          </w:tcPr>
          <w:p w14:paraId="0A9EC2E3" w14:textId="77777777" w:rsidR="000967EF" w:rsidRDefault="000967EF" w:rsidP="000967EF">
            <w:r>
              <w:t>ISBN Number</w:t>
            </w:r>
          </w:p>
          <w:p w14:paraId="59FCBA6D" w14:textId="07A74474" w:rsidR="000967EF" w:rsidRDefault="000967EF" w:rsidP="000967EF">
            <w:pPr>
              <w:rPr>
                <w:rFonts w:cstheme="minorHAnsi"/>
              </w:rPr>
            </w:pPr>
            <w:r>
              <w:t>978-620-6-</w:t>
            </w:r>
            <w:r>
              <w:lastRenderedPageBreak/>
              <w:t>75135-9</w:t>
            </w:r>
          </w:p>
        </w:tc>
        <w:tc>
          <w:tcPr>
            <w:tcW w:w="947" w:type="dxa"/>
          </w:tcPr>
          <w:p w14:paraId="4F88D332" w14:textId="77777777" w:rsidR="000967EF" w:rsidRDefault="000967EF" w:rsidP="000967EF">
            <w:pPr>
              <w:rPr>
                <w:rFonts w:cstheme="minorHAnsi"/>
              </w:rPr>
            </w:pPr>
          </w:p>
        </w:tc>
        <w:tc>
          <w:tcPr>
            <w:tcW w:w="5288" w:type="dxa"/>
          </w:tcPr>
          <w:p w14:paraId="4F1AF8B5" w14:textId="743CC963" w:rsidR="000967EF" w:rsidRDefault="000967EF" w:rsidP="000967EF">
            <w:pPr>
              <w:jc w:val="center"/>
              <w:rPr>
                <w:rFonts w:cstheme="minorHAnsi"/>
              </w:rPr>
            </w:pPr>
            <w:r>
              <w:t>All Faculty</w:t>
            </w:r>
          </w:p>
        </w:tc>
      </w:tr>
      <w:tr w:rsidR="00A56912" w:rsidRPr="003A0720" w14:paraId="4C248425" w14:textId="77777777" w:rsidTr="000967EF">
        <w:trPr>
          <w:trHeight w:val="515"/>
        </w:trPr>
        <w:tc>
          <w:tcPr>
            <w:tcW w:w="617" w:type="dxa"/>
          </w:tcPr>
          <w:p w14:paraId="2EA42E00" w14:textId="695C28DD" w:rsidR="00A56912" w:rsidRDefault="00A56912" w:rsidP="00096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819" w:type="dxa"/>
          </w:tcPr>
          <w:p w14:paraId="6B8587E5" w14:textId="074B0495" w:rsidR="00DF1379" w:rsidRPr="008C3CE3" w:rsidRDefault="008C3CE3" w:rsidP="00DF137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3CE3">
              <w:rPr>
                <w:rFonts w:asciiTheme="minorHAnsi" w:hAnsiTheme="minorHAnsi" w:cstheme="minorHAnsi"/>
                <w:sz w:val="22"/>
                <w:szCs w:val="22"/>
              </w:rPr>
              <w:t>Sriranga</w:t>
            </w:r>
            <w:proofErr w:type="spellEnd"/>
            <w:r w:rsidRPr="008C3CE3">
              <w:rPr>
                <w:rFonts w:asciiTheme="minorHAnsi" w:hAnsiTheme="minorHAnsi" w:cstheme="minorHAnsi"/>
                <w:sz w:val="22"/>
                <w:szCs w:val="22"/>
              </w:rPr>
              <w:t xml:space="preserve">, J , </w:t>
            </w:r>
            <w:proofErr w:type="spellStart"/>
            <w:r w:rsidRPr="008C3CE3">
              <w:rPr>
                <w:rFonts w:asciiTheme="minorHAnsi" w:hAnsiTheme="minorHAnsi" w:cstheme="minorHAnsi"/>
                <w:sz w:val="22"/>
                <w:szCs w:val="22"/>
              </w:rPr>
              <w:t>Pushpanjali</w:t>
            </w:r>
            <w:proofErr w:type="spellEnd"/>
            <w:r w:rsidRPr="008C3CE3">
              <w:rPr>
                <w:rFonts w:asciiTheme="minorHAnsi" w:hAnsiTheme="minorHAnsi" w:cstheme="minorHAnsi"/>
                <w:sz w:val="22"/>
                <w:szCs w:val="22"/>
              </w:rPr>
              <w:t xml:space="preserve">, K, </w:t>
            </w:r>
            <w:proofErr w:type="spellStart"/>
            <w:r w:rsidRPr="008C3CE3">
              <w:rPr>
                <w:rFonts w:asciiTheme="minorHAnsi" w:hAnsiTheme="minorHAnsi" w:cstheme="minorHAnsi"/>
                <w:sz w:val="22"/>
                <w:szCs w:val="22"/>
              </w:rPr>
              <w:t>Vadavi</w:t>
            </w:r>
            <w:proofErr w:type="spellEnd"/>
            <w:r w:rsidRPr="008C3CE3">
              <w:rPr>
                <w:rFonts w:asciiTheme="minorHAnsi" w:hAnsiTheme="minorHAnsi" w:cstheme="minorHAnsi"/>
                <w:sz w:val="22"/>
                <w:szCs w:val="22"/>
              </w:rPr>
              <w:t xml:space="preserve">, D (2023) ‘Assessment for Learning and of Learning’, </w:t>
            </w:r>
            <w:r w:rsidRPr="008C3CE3">
              <w:rPr>
                <w:rFonts w:asciiTheme="minorHAnsi" w:hAnsiTheme="minorHAnsi" w:cstheme="minorHAnsi"/>
                <w:i/>
                <w:sz w:val="22"/>
                <w:szCs w:val="22"/>
              </w:rPr>
              <w:t>Handbook on MEDICAL EDUCATION,</w:t>
            </w:r>
            <w:r w:rsidRPr="008C3C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C3CE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8C3C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3CE3">
              <w:rPr>
                <w:rFonts w:asciiTheme="minorHAnsi" w:hAnsiTheme="minorHAnsi" w:cstheme="minorHAnsi"/>
                <w:sz w:val="22"/>
                <w:szCs w:val="22"/>
              </w:rPr>
              <w:t>edn</w:t>
            </w:r>
            <w:proofErr w:type="spellEnd"/>
            <w:r w:rsidRPr="008C3CE3">
              <w:rPr>
                <w:rFonts w:asciiTheme="minorHAnsi" w:hAnsiTheme="minorHAnsi" w:cstheme="minorHAnsi"/>
                <w:sz w:val="22"/>
                <w:szCs w:val="22"/>
              </w:rPr>
              <w:t>, Ahuja Publishing House, New Delhi, NSW: 207-225</w:t>
            </w:r>
          </w:p>
        </w:tc>
        <w:tc>
          <w:tcPr>
            <w:tcW w:w="1398" w:type="dxa"/>
          </w:tcPr>
          <w:p w14:paraId="7CBB4A7C" w14:textId="5D6AC61E" w:rsidR="00A56912" w:rsidRDefault="00DF1379" w:rsidP="00887795">
            <w:pPr>
              <w:jc w:val="center"/>
            </w:pPr>
            <w:r>
              <w:t>PHD</w:t>
            </w:r>
          </w:p>
        </w:tc>
        <w:tc>
          <w:tcPr>
            <w:tcW w:w="1398" w:type="dxa"/>
          </w:tcPr>
          <w:p w14:paraId="38255F46" w14:textId="49CA7E12" w:rsidR="00A56912" w:rsidRDefault="008C3CE3" w:rsidP="000967EF">
            <w:r w:rsidRPr="008C3CE3">
              <w:rPr>
                <w:rFonts w:cstheme="minorHAnsi"/>
              </w:rPr>
              <w:t>Ahuja Publishing House</w:t>
            </w:r>
          </w:p>
        </w:tc>
        <w:tc>
          <w:tcPr>
            <w:tcW w:w="971" w:type="dxa"/>
          </w:tcPr>
          <w:p w14:paraId="282F8A1E" w14:textId="77777777" w:rsidR="008C3CE3" w:rsidRDefault="008C3CE3" w:rsidP="008C3CE3">
            <w:r>
              <w:t>ISBN : 978-93-80316-871</w:t>
            </w:r>
          </w:p>
          <w:p w14:paraId="0CC4CD62" w14:textId="77777777" w:rsidR="00A56912" w:rsidRDefault="00A56912" w:rsidP="000967EF"/>
        </w:tc>
        <w:tc>
          <w:tcPr>
            <w:tcW w:w="947" w:type="dxa"/>
          </w:tcPr>
          <w:p w14:paraId="7507F0FB" w14:textId="77777777" w:rsidR="00A56912" w:rsidRDefault="00A56912" w:rsidP="000967EF">
            <w:pPr>
              <w:rPr>
                <w:rFonts w:cstheme="minorHAnsi"/>
              </w:rPr>
            </w:pPr>
          </w:p>
        </w:tc>
        <w:tc>
          <w:tcPr>
            <w:tcW w:w="5288" w:type="dxa"/>
          </w:tcPr>
          <w:p w14:paraId="4CB4B8DB" w14:textId="77777777" w:rsidR="00A56912" w:rsidRDefault="00A56912" w:rsidP="000967EF">
            <w:pPr>
              <w:jc w:val="center"/>
            </w:pPr>
          </w:p>
        </w:tc>
      </w:tr>
    </w:tbl>
    <w:p w14:paraId="42DD580C" w14:textId="77777777" w:rsidR="003A0720" w:rsidRDefault="003A0720" w:rsidP="003A0720">
      <w:pPr>
        <w:rPr>
          <w:rFonts w:cstheme="minorHAnsi"/>
        </w:rPr>
      </w:pPr>
    </w:p>
    <w:p w14:paraId="2EBC5BA3" w14:textId="77777777" w:rsidR="00F875AD" w:rsidRDefault="00F875AD" w:rsidP="003A0720">
      <w:pPr>
        <w:rPr>
          <w:rFonts w:cstheme="minorHAnsi"/>
        </w:rPr>
      </w:pPr>
    </w:p>
    <w:p w14:paraId="4276DF3A" w14:textId="77777777" w:rsidR="003A0720" w:rsidRPr="003A0720" w:rsidRDefault="003A0720" w:rsidP="007F0E25">
      <w:pPr>
        <w:rPr>
          <w:rFonts w:cstheme="minorHAnsi"/>
          <w:b/>
          <w:bCs/>
        </w:rPr>
      </w:pPr>
    </w:p>
    <w:sectPr w:rsidR="003A0720" w:rsidRPr="003A0720" w:rsidSect="00465DD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EFFF" w14:textId="77777777" w:rsidR="00566385" w:rsidRDefault="00566385" w:rsidP="00E760C7">
      <w:pPr>
        <w:spacing w:after="0" w:line="240" w:lineRule="auto"/>
      </w:pPr>
      <w:r>
        <w:separator/>
      </w:r>
    </w:p>
  </w:endnote>
  <w:endnote w:type="continuationSeparator" w:id="0">
    <w:p w14:paraId="31F22A66" w14:textId="77777777" w:rsidR="00566385" w:rsidRDefault="00566385" w:rsidP="00E7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tisSemiSerifStd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72F9" w14:textId="77777777" w:rsidR="00566385" w:rsidRDefault="00566385" w:rsidP="00E760C7">
      <w:pPr>
        <w:spacing w:after="0" w:line="240" w:lineRule="auto"/>
      </w:pPr>
      <w:r>
        <w:separator/>
      </w:r>
    </w:p>
  </w:footnote>
  <w:footnote w:type="continuationSeparator" w:id="0">
    <w:p w14:paraId="1EB242CC" w14:textId="77777777" w:rsidR="00566385" w:rsidRDefault="00566385" w:rsidP="00E7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2633" w14:textId="2C275D55" w:rsidR="0050761E" w:rsidRDefault="0050761E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44650" wp14:editId="5693AC7A">
              <wp:simplePos x="0" y="0"/>
              <wp:positionH relativeFrom="column">
                <wp:posOffset>3333750</wp:posOffset>
              </wp:positionH>
              <wp:positionV relativeFrom="paragraph">
                <wp:posOffset>114300</wp:posOffset>
              </wp:positionV>
              <wp:extent cx="3152775" cy="3333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E2B3B8" w14:textId="0AD46500" w:rsidR="0050761E" w:rsidRPr="00C1054F" w:rsidRDefault="0050761E" w:rsidP="00C1054F">
                          <w:pPr>
                            <w:jc w:val="center"/>
                            <w:rPr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Publication</w:t>
                          </w:r>
                          <w:r w:rsidRPr="00C1054F">
                            <w:rPr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 xml:space="preserve"> Details Collection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446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.5pt;margin-top:9pt;width:24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" fillcolor="white [3201]" stroked="f" strokeweight=".5pt">
              <v:textbox>
                <w:txbxContent>
                  <w:p w14:paraId="24E2B3B8" w14:textId="0AD46500" w:rsidR="0050761E" w:rsidRPr="00C1054F" w:rsidRDefault="0050761E" w:rsidP="00C1054F">
                    <w:pPr>
                      <w:jc w:val="center"/>
                      <w:rPr>
                        <w:b/>
                        <w:bCs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2060"/>
                        <w:sz w:val="28"/>
                        <w:szCs w:val="28"/>
                      </w:rPr>
                      <w:t>Publication</w:t>
                    </w:r>
                    <w:r w:rsidRPr="00C1054F">
                      <w:rPr>
                        <w:b/>
                        <w:bCs/>
                        <w:color w:val="002060"/>
                        <w:sz w:val="28"/>
                        <w:szCs w:val="28"/>
                      </w:rPr>
                      <w:t xml:space="preserve"> Details Collection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N"/>
      </w:rPr>
      <w:drawing>
        <wp:inline distT="0" distB="0" distL="0" distR="0" wp14:anchorId="0AE062CF" wp14:editId="5D3B4A95">
          <wp:extent cx="3111335" cy="6481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618" cy="653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57C"/>
    <w:multiLevelType w:val="hybridMultilevel"/>
    <w:tmpl w:val="78862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F1"/>
    <w:multiLevelType w:val="hybridMultilevel"/>
    <w:tmpl w:val="049E7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74D3"/>
    <w:multiLevelType w:val="hybridMultilevel"/>
    <w:tmpl w:val="3FD2B3F0"/>
    <w:lvl w:ilvl="0" w:tplc="A9800D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64EE"/>
    <w:multiLevelType w:val="hybridMultilevel"/>
    <w:tmpl w:val="3AE60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D0B3E"/>
    <w:multiLevelType w:val="hybridMultilevel"/>
    <w:tmpl w:val="049E7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218F"/>
    <w:multiLevelType w:val="hybridMultilevel"/>
    <w:tmpl w:val="EB603F40"/>
    <w:lvl w:ilvl="0" w:tplc="5978E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EDB"/>
    <w:multiLevelType w:val="hybridMultilevel"/>
    <w:tmpl w:val="398C1D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7D92"/>
    <w:multiLevelType w:val="hybridMultilevel"/>
    <w:tmpl w:val="4A24BD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551B"/>
    <w:multiLevelType w:val="hybridMultilevel"/>
    <w:tmpl w:val="68C6FA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90123"/>
    <w:multiLevelType w:val="hybridMultilevel"/>
    <w:tmpl w:val="896206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E78EC"/>
    <w:multiLevelType w:val="hybridMultilevel"/>
    <w:tmpl w:val="A2EE0F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21ED3"/>
    <w:multiLevelType w:val="hybridMultilevel"/>
    <w:tmpl w:val="75363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B342A"/>
    <w:multiLevelType w:val="hybridMultilevel"/>
    <w:tmpl w:val="B79C73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52969"/>
    <w:multiLevelType w:val="hybridMultilevel"/>
    <w:tmpl w:val="A9385E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903A4"/>
    <w:multiLevelType w:val="hybridMultilevel"/>
    <w:tmpl w:val="4482C3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60587"/>
    <w:multiLevelType w:val="hybridMultilevel"/>
    <w:tmpl w:val="3AE60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E7AB8"/>
    <w:multiLevelType w:val="hybridMultilevel"/>
    <w:tmpl w:val="67D4A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F4756"/>
    <w:multiLevelType w:val="hybridMultilevel"/>
    <w:tmpl w:val="EEA82F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394D"/>
    <w:multiLevelType w:val="hybridMultilevel"/>
    <w:tmpl w:val="145A0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21373"/>
    <w:multiLevelType w:val="hybridMultilevel"/>
    <w:tmpl w:val="91865C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757B"/>
    <w:multiLevelType w:val="hybridMultilevel"/>
    <w:tmpl w:val="67D4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346538">
    <w:abstractNumId w:val="11"/>
  </w:num>
  <w:num w:numId="2" w16cid:durableId="799492800">
    <w:abstractNumId w:val="18"/>
  </w:num>
  <w:num w:numId="3" w16cid:durableId="37362888">
    <w:abstractNumId w:val="5"/>
  </w:num>
  <w:num w:numId="4" w16cid:durableId="1495146068">
    <w:abstractNumId w:val="20"/>
  </w:num>
  <w:num w:numId="5" w16cid:durableId="1911378086">
    <w:abstractNumId w:val="16"/>
  </w:num>
  <w:num w:numId="6" w16cid:durableId="725688496">
    <w:abstractNumId w:val="17"/>
  </w:num>
  <w:num w:numId="7" w16cid:durableId="1516962085">
    <w:abstractNumId w:val="4"/>
  </w:num>
  <w:num w:numId="8" w16cid:durableId="111411819">
    <w:abstractNumId w:val="3"/>
  </w:num>
  <w:num w:numId="9" w16cid:durableId="398359792">
    <w:abstractNumId w:val="15"/>
  </w:num>
  <w:num w:numId="10" w16cid:durableId="881332778">
    <w:abstractNumId w:val="1"/>
  </w:num>
  <w:num w:numId="11" w16cid:durableId="1101410216">
    <w:abstractNumId w:val="8"/>
  </w:num>
  <w:num w:numId="12" w16cid:durableId="318120017">
    <w:abstractNumId w:val="2"/>
  </w:num>
  <w:num w:numId="13" w16cid:durableId="1649550546">
    <w:abstractNumId w:val="7"/>
  </w:num>
  <w:num w:numId="14" w16cid:durableId="1916278695">
    <w:abstractNumId w:val="19"/>
  </w:num>
  <w:num w:numId="15" w16cid:durableId="1402095635">
    <w:abstractNumId w:val="10"/>
  </w:num>
  <w:num w:numId="16" w16cid:durableId="32973069">
    <w:abstractNumId w:val="13"/>
  </w:num>
  <w:num w:numId="17" w16cid:durableId="1398090383">
    <w:abstractNumId w:val="14"/>
  </w:num>
  <w:num w:numId="18" w16cid:durableId="1994528556">
    <w:abstractNumId w:val="9"/>
  </w:num>
  <w:num w:numId="19" w16cid:durableId="749347978">
    <w:abstractNumId w:val="6"/>
  </w:num>
  <w:num w:numId="20" w16cid:durableId="1560827206">
    <w:abstractNumId w:val="0"/>
  </w:num>
  <w:num w:numId="21" w16cid:durableId="1571429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0C7"/>
    <w:rsid w:val="00017B52"/>
    <w:rsid w:val="000523ED"/>
    <w:rsid w:val="00060AD7"/>
    <w:rsid w:val="0006596C"/>
    <w:rsid w:val="00084DCD"/>
    <w:rsid w:val="000967EF"/>
    <w:rsid w:val="000C4EFA"/>
    <w:rsid w:val="000E4C37"/>
    <w:rsid w:val="00104EBC"/>
    <w:rsid w:val="001676DE"/>
    <w:rsid w:val="001B2161"/>
    <w:rsid w:val="001C4C3A"/>
    <w:rsid w:val="001D23A1"/>
    <w:rsid w:val="001F3E92"/>
    <w:rsid w:val="00205A26"/>
    <w:rsid w:val="00216248"/>
    <w:rsid w:val="00254397"/>
    <w:rsid w:val="002813AC"/>
    <w:rsid w:val="00283725"/>
    <w:rsid w:val="002A061D"/>
    <w:rsid w:val="002A6C43"/>
    <w:rsid w:val="002E2B21"/>
    <w:rsid w:val="00300574"/>
    <w:rsid w:val="0030785F"/>
    <w:rsid w:val="003A03D1"/>
    <w:rsid w:val="003A0720"/>
    <w:rsid w:val="003A7C50"/>
    <w:rsid w:val="003D379A"/>
    <w:rsid w:val="003E2D0C"/>
    <w:rsid w:val="00434F9F"/>
    <w:rsid w:val="00456133"/>
    <w:rsid w:val="00465DD4"/>
    <w:rsid w:val="004703B0"/>
    <w:rsid w:val="00475024"/>
    <w:rsid w:val="004759AE"/>
    <w:rsid w:val="00486827"/>
    <w:rsid w:val="004C5282"/>
    <w:rsid w:val="0050761E"/>
    <w:rsid w:val="00512E31"/>
    <w:rsid w:val="00514E2E"/>
    <w:rsid w:val="00516588"/>
    <w:rsid w:val="00523442"/>
    <w:rsid w:val="00541D54"/>
    <w:rsid w:val="00551031"/>
    <w:rsid w:val="00566385"/>
    <w:rsid w:val="00577402"/>
    <w:rsid w:val="005825E1"/>
    <w:rsid w:val="00590CA7"/>
    <w:rsid w:val="005A5A20"/>
    <w:rsid w:val="00612625"/>
    <w:rsid w:val="006416AE"/>
    <w:rsid w:val="006743C6"/>
    <w:rsid w:val="00682DD1"/>
    <w:rsid w:val="00693112"/>
    <w:rsid w:val="006C0207"/>
    <w:rsid w:val="0071464E"/>
    <w:rsid w:val="0072613F"/>
    <w:rsid w:val="00734CA4"/>
    <w:rsid w:val="00753D62"/>
    <w:rsid w:val="00773352"/>
    <w:rsid w:val="00791573"/>
    <w:rsid w:val="00792F20"/>
    <w:rsid w:val="007D6D8B"/>
    <w:rsid w:val="007E40DF"/>
    <w:rsid w:val="007F0E25"/>
    <w:rsid w:val="00816F4A"/>
    <w:rsid w:val="008455DA"/>
    <w:rsid w:val="00862379"/>
    <w:rsid w:val="008640A5"/>
    <w:rsid w:val="00864F37"/>
    <w:rsid w:val="0086515A"/>
    <w:rsid w:val="00873CF1"/>
    <w:rsid w:val="00873E17"/>
    <w:rsid w:val="00887795"/>
    <w:rsid w:val="008A5BD2"/>
    <w:rsid w:val="008C3CE3"/>
    <w:rsid w:val="008D547E"/>
    <w:rsid w:val="008E760F"/>
    <w:rsid w:val="008F4AD4"/>
    <w:rsid w:val="00915093"/>
    <w:rsid w:val="009342FB"/>
    <w:rsid w:val="00976D6A"/>
    <w:rsid w:val="00984A14"/>
    <w:rsid w:val="009975B4"/>
    <w:rsid w:val="009A51C4"/>
    <w:rsid w:val="00A24CE1"/>
    <w:rsid w:val="00A33C80"/>
    <w:rsid w:val="00A53A0B"/>
    <w:rsid w:val="00A56912"/>
    <w:rsid w:val="00AE26A8"/>
    <w:rsid w:val="00B16679"/>
    <w:rsid w:val="00B25A7B"/>
    <w:rsid w:val="00B41887"/>
    <w:rsid w:val="00B73843"/>
    <w:rsid w:val="00B7725B"/>
    <w:rsid w:val="00B776EB"/>
    <w:rsid w:val="00BA1DCF"/>
    <w:rsid w:val="00BB1959"/>
    <w:rsid w:val="00BC0D8F"/>
    <w:rsid w:val="00BD05AF"/>
    <w:rsid w:val="00C1054F"/>
    <w:rsid w:val="00C25E83"/>
    <w:rsid w:val="00C35BA5"/>
    <w:rsid w:val="00C50F63"/>
    <w:rsid w:val="00C6539F"/>
    <w:rsid w:val="00C656C8"/>
    <w:rsid w:val="00C65A9B"/>
    <w:rsid w:val="00C677EA"/>
    <w:rsid w:val="00C73350"/>
    <w:rsid w:val="00C74B98"/>
    <w:rsid w:val="00CB10BC"/>
    <w:rsid w:val="00CB5D54"/>
    <w:rsid w:val="00CC16FF"/>
    <w:rsid w:val="00CD49E2"/>
    <w:rsid w:val="00CD6B55"/>
    <w:rsid w:val="00CF73FF"/>
    <w:rsid w:val="00D0542E"/>
    <w:rsid w:val="00D36B4E"/>
    <w:rsid w:val="00D47D59"/>
    <w:rsid w:val="00D54F9C"/>
    <w:rsid w:val="00D73FE7"/>
    <w:rsid w:val="00DF1379"/>
    <w:rsid w:val="00E37341"/>
    <w:rsid w:val="00E5636F"/>
    <w:rsid w:val="00E760C7"/>
    <w:rsid w:val="00E765B4"/>
    <w:rsid w:val="00E80C77"/>
    <w:rsid w:val="00EC2F8D"/>
    <w:rsid w:val="00ED1D78"/>
    <w:rsid w:val="00F348A9"/>
    <w:rsid w:val="00F37F2D"/>
    <w:rsid w:val="00F568B1"/>
    <w:rsid w:val="00F766A7"/>
    <w:rsid w:val="00F802FC"/>
    <w:rsid w:val="00F875AD"/>
    <w:rsid w:val="00FA05CD"/>
    <w:rsid w:val="00FC26BA"/>
    <w:rsid w:val="00FC34C4"/>
    <w:rsid w:val="00FC4D01"/>
    <w:rsid w:val="00FD0229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99F4D"/>
  <w15:docId w15:val="{442073C3-964A-C74D-8AEF-D49E0FA5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C7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F56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C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E7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C7"/>
    <w:rPr>
      <w:lang w:val="en-IN"/>
    </w:rPr>
  </w:style>
  <w:style w:type="paragraph" w:styleId="ListParagraph">
    <w:name w:val="List Paragraph"/>
    <w:basedOn w:val="Normal"/>
    <w:uiPriority w:val="34"/>
    <w:qFormat/>
    <w:rsid w:val="00E760C7"/>
    <w:pPr>
      <w:ind w:left="720"/>
      <w:contextualSpacing/>
    </w:pPr>
  </w:style>
  <w:style w:type="table" w:styleId="TableGrid">
    <w:name w:val="Table Grid"/>
    <w:basedOn w:val="TableNormal"/>
    <w:uiPriority w:val="39"/>
    <w:rsid w:val="0046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A51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50"/>
    <w:rPr>
      <w:rFonts w:ascii="Tahoma" w:hAnsi="Tahoma" w:cs="Tahoma"/>
      <w:sz w:val="16"/>
      <w:szCs w:val="16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F568B1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truncatedauthor">
    <w:name w:val="truncatedauthor"/>
    <w:basedOn w:val="DefaultParagraphFont"/>
    <w:rsid w:val="00F568B1"/>
  </w:style>
  <w:style w:type="character" w:styleId="Hyperlink">
    <w:name w:val="Hyperlink"/>
    <w:basedOn w:val="DefaultParagraphFont"/>
    <w:uiPriority w:val="99"/>
    <w:semiHidden/>
    <w:unhideWhenUsed/>
    <w:rsid w:val="00F568B1"/>
    <w:rPr>
      <w:color w:val="0000FF"/>
      <w:u w:val="single"/>
    </w:rPr>
  </w:style>
  <w:style w:type="paragraph" w:styleId="NoSpacing">
    <w:name w:val="No Spacing"/>
    <w:uiPriority w:val="1"/>
    <w:qFormat/>
    <w:rsid w:val="00753D62"/>
    <w:pPr>
      <w:spacing w:after="0" w:line="240" w:lineRule="auto"/>
    </w:pPr>
    <w:rPr>
      <w:lang w:val="en-IN"/>
    </w:rPr>
  </w:style>
  <w:style w:type="paragraph" w:styleId="NormalWeb">
    <w:name w:val="Normal (Web)"/>
    <w:basedOn w:val="Normal"/>
    <w:uiPriority w:val="99"/>
    <w:semiHidden/>
    <w:unhideWhenUsed/>
    <w:rsid w:val="0009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4E4A-3E65-4807-A8BF-731C189F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Augustine</dc:creator>
  <cp:lastModifiedBy>Dr. Elizabeth Abbu Varghese</cp:lastModifiedBy>
  <cp:revision>2</cp:revision>
  <dcterms:created xsi:type="dcterms:W3CDTF">2023-12-05T07:24:00Z</dcterms:created>
  <dcterms:modified xsi:type="dcterms:W3CDTF">2023-12-05T07:24:00Z</dcterms:modified>
</cp:coreProperties>
</file>